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FD7F6" w14:textId="77777777" w:rsidR="006A3699" w:rsidRPr="00D94AE8" w:rsidRDefault="7D0B36F1" w:rsidP="006A3699">
      <w:pPr>
        <w:spacing w:after="400"/>
        <w:jc w:val="center"/>
        <w:rPr>
          <w:sz w:val="22"/>
          <w:szCs w:val="22"/>
        </w:rPr>
      </w:pPr>
      <w:r w:rsidRPr="18B85684">
        <w:rPr>
          <w:b/>
          <w:bCs/>
          <w:sz w:val="36"/>
          <w:szCs w:val="36"/>
        </w:rPr>
        <w:t>Calculating Perioperative Learning Capacity: A Formula-Based Approach to Theatre Placement, Preceptorship and Induction</w:t>
      </w:r>
    </w:p>
    <w:p w14:paraId="46D7444A" w14:textId="22D4880D" w:rsidR="52998F81" w:rsidRDefault="52998F81" w:rsidP="18B85684">
      <w:pPr>
        <w:spacing w:line="360" w:lineRule="auto"/>
        <w:rPr>
          <w:rFonts w:ascii="Arial" w:eastAsia="Arial" w:hAnsi="Arial" w:cs="Arial"/>
          <w:b/>
          <w:bCs/>
          <w:sz w:val="24"/>
          <w:szCs w:val="24"/>
        </w:rPr>
      </w:pPr>
      <w:r w:rsidRPr="18B85684">
        <w:rPr>
          <w:rFonts w:ascii="Arial" w:eastAsia="Arial" w:hAnsi="Arial" w:cs="Arial"/>
          <w:b/>
          <w:bCs/>
          <w:sz w:val="24"/>
          <w:szCs w:val="24"/>
        </w:rPr>
        <w:t>Abstract</w:t>
      </w:r>
    </w:p>
    <w:p w14:paraId="643C8C7E" w14:textId="6407CC91" w:rsidR="52998F81" w:rsidRDefault="52998F81" w:rsidP="18B85684">
      <w:pPr>
        <w:spacing w:line="360" w:lineRule="auto"/>
      </w:pPr>
      <w:r w:rsidRPr="18B85684">
        <w:rPr>
          <w:rFonts w:ascii="Arial" w:eastAsia="Arial" w:hAnsi="Arial" w:cs="Arial"/>
          <w:sz w:val="24"/>
          <w:szCs w:val="24"/>
        </w:rPr>
        <w:t>Placement capacity in NHS theatre departments is currently determined by custom and local practice rather than by any calculation of what a department's physical environment can support.</w:t>
      </w:r>
      <w:r w:rsidR="001A1C88">
        <w:rPr>
          <w:rFonts w:ascii="Arial" w:eastAsia="Arial" w:hAnsi="Arial" w:cs="Arial"/>
          <w:sz w:val="24"/>
          <w:szCs w:val="24"/>
        </w:rPr>
        <w:t xml:space="preserve"> </w:t>
      </w:r>
      <w:r w:rsidR="001A1C88" w:rsidRPr="001A1C88">
        <w:rPr>
          <w:rFonts w:ascii="Arial" w:eastAsia="Arial" w:hAnsi="Arial" w:cs="Arial"/>
          <w:sz w:val="24"/>
          <w:szCs w:val="24"/>
        </w:rPr>
        <w:t>Existing national benchmarking tools, including NHS England's Fair Share Model, calculate placement capacity from the registered workforce rather than the physical environment, and cannot establish whether a department's theatres and recovery bays, rather than its staffing, are the binding constraint on how many learners it can host.</w:t>
      </w:r>
      <w:r w:rsidRPr="18B85684">
        <w:rPr>
          <w:rFonts w:ascii="Arial" w:eastAsia="Arial" w:hAnsi="Arial" w:cs="Arial"/>
          <w:sz w:val="24"/>
          <w:szCs w:val="24"/>
        </w:rPr>
        <w:t xml:space="preserve"> Some trusts accept as few as four learners per year regardless of theatre suite size, with no methodology available to test whether that figure reflects genuine physical constraint or unexamined convention. This paper proposes the Physical Capacity Index (PCI), a formula for calculating the maximum number of learners a theatre department can accommodate on a given operational day, based on the number of active operating theatres, staffed recovery bays, and an operational attrition factor accounting for the gap between theoretical and realised daily capacity. The formula is derived from the existing evidence base on supervisory ratios and theatre capacity loss, combined with professional and clinical experience, and is presented as a first-generation proposal pending formal validation. It applies not only to pre-registration students, including those on T Level industry placements, but also to newly registered staff and support workers undertaking supernumerary induction or preceptorship, all of whom draw on the same finite theatre capacity. Worked examples across departments of varying size indicate that calculated capacity substantially exceeds current placement numbers at many sites, suggesting considerable unrealised capacity. The paper distinguishes physical capacity, calculated by the PCI, from supervised learning capacity, which depends on staffing, experience, and case complexity, and proposes the latter as a distinct area for future development. Limitations include the non-empirical basis of the attrition factor and the formula's exclusion of specialty-specific and non-standard operating patterns. The paper concludes by </w:t>
      </w:r>
      <w:r w:rsidRPr="18B85684">
        <w:rPr>
          <w:rFonts w:ascii="Arial" w:eastAsia="Arial" w:hAnsi="Arial" w:cs="Arial"/>
          <w:sz w:val="24"/>
          <w:szCs w:val="24"/>
        </w:rPr>
        <w:lastRenderedPageBreak/>
        <w:t>identifying a structured consensus process, informed by research priorities already identified within Perioperative Education, as the next step toward validating and refining the formula.</w:t>
      </w:r>
    </w:p>
    <w:p w14:paraId="3B2993C4" w14:textId="7871A777" w:rsidR="18B85684" w:rsidRDefault="18B85684" w:rsidP="18B85684">
      <w:pPr>
        <w:spacing w:line="360" w:lineRule="auto"/>
        <w:rPr>
          <w:rFonts w:ascii="Arial" w:eastAsia="Arial" w:hAnsi="Arial" w:cs="Arial"/>
          <w:sz w:val="24"/>
          <w:szCs w:val="24"/>
        </w:rPr>
      </w:pPr>
    </w:p>
    <w:p w14:paraId="656CE469" w14:textId="77777777" w:rsidR="006A3699" w:rsidRPr="00D94AE8" w:rsidRDefault="006A3699" w:rsidP="006A3699">
      <w:pPr>
        <w:spacing w:line="360" w:lineRule="auto"/>
        <w:rPr>
          <w:rFonts w:ascii="Arial" w:hAnsi="Arial" w:cs="Arial"/>
          <w:b/>
          <w:bCs/>
          <w:sz w:val="24"/>
          <w:szCs w:val="24"/>
        </w:rPr>
      </w:pPr>
      <w:r w:rsidRPr="00D94AE8">
        <w:rPr>
          <w:rFonts w:ascii="Arial" w:hAnsi="Arial" w:cs="Arial"/>
          <w:b/>
          <w:bCs/>
          <w:sz w:val="24"/>
          <w:szCs w:val="24"/>
        </w:rPr>
        <w:t>Introduction</w:t>
      </w:r>
    </w:p>
    <w:p w14:paraId="1D838D81" w14:textId="117CB886" w:rsidR="006A3699" w:rsidRDefault="4A75EAC1" w:rsidP="006A3699">
      <w:pPr>
        <w:spacing w:line="360" w:lineRule="auto"/>
        <w:rPr>
          <w:rFonts w:ascii="Arial" w:hAnsi="Arial" w:cs="Arial"/>
          <w:sz w:val="24"/>
          <w:szCs w:val="24"/>
        </w:rPr>
      </w:pPr>
      <w:r w:rsidRPr="5B820343">
        <w:rPr>
          <w:rFonts w:ascii="Arial" w:hAnsi="Arial" w:cs="Arial"/>
          <w:sz w:val="24"/>
          <w:szCs w:val="24"/>
        </w:rPr>
        <w:t>The perioperative environment is among the most clinically complex and educationally demanding placement settings in the National Health Service (NHS). Health Education England (2022) describes the Operating Department Practitioners (ODP)</w:t>
      </w:r>
      <w:r w:rsidR="67807F84" w:rsidRPr="5B820343">
        <w:rPr>
          <w:rFonts w:ascii="Arial" w:hAnsi="Arial" w:cs="Arial"/>
          <w:sz w:val="24"/>
          <w:szCs w:val="24"/>
        </w:rPr>
        <w:t xml:space="preserve"> and nursing workforce</w:t>
      </w:r>
      <w:r w:rsidRPr="5B820343">
        <w:rPr>
          <w:rFonts w:ascii="Arial" w:hAnsi="Arial" w:cs="Arial"/>
          <w:sz w:val="24"/>
          <w:szCs w:val="24"/>
        </w:rPr>
        <w:t xml:space="preserve"> as operating within complex perioperative and critical care environments. The demands of this setting are reflected in the wider evidence </w:t>
      </w:r>
      <w:proofErr w:type="spellStart"/>
      <w:r w:rsidRPr="5B820343">
        <w:rPr>
          <w:rFonts w:ascii="Arial" w:hAnsi="Arial" w:cs="Arial"/>
          <w:sz w:val="24"/>
          <w:szCs w:val="24"/>
        </w:rPr>
        <w:t>base</w:t>
      </w:r>
      <w:proofErr w:type="spellEnd"/>
      <w:r w:rsidRPr="5B820343">
        <w:rPr>
          <w:rFonts w:ascii="Arial" w:hAnsi="Arial" w:cs="Arial"/>
          <w:sz w:val="24"/>
          <w:szCs w:val="24"/>
        </w:rPr>
        <w:t xml:space="preserve"> on performance under pressure: Tam et al. (2024), in a systematic review, found that high stress impairs both technical and non-technical performance and increases error rates in operating theatre settings</w:t>
      </w:r>
      <w:r w:rsidR="61FE6730" w:rsidRPr="5B820343">
        <w:rPr>
          <w:rFonts w:ascii="Arial" w:hAnsi="Arial" w:cs="Arial"/>
          <w:sz w:val="24"/>
          <w:szCs w:val="24"/>
        </w:rPr>
        <w:t>.</w:t>
      </w:r>
    </w:p>
    <w:p w14:paraId="5AD83CEB" w14:textId="77777777" w:rsidR="006A3699" w:rsidRPr="00D94AE8" w:rsidRDefault="006A3699" w:rsidP="006A3699">
      <w:pPr>
        <w:spacing w:line="360" w:lineRule="auto"/>
        <w:rPr>
          <w:rFonts w:ascii="Arial" w:hAnsi="Arial" w:cs="Arial"/>
          <w:sz w:val="24"/>
          <w:szCs w:val="24"/>
        </w:rPr>
      </w:pPr>
    </w:p>
    <w:p w14:paraId="34A5DFE9" w14:textId="397AFD37" w:rsidR="006A3699" w:rsidRDefault="006A3699" w:rsidP="006A3699">
      <w:pPr>
        <w:spacing w:line="360" w:lineRule="auto"/>
        <w:rPr>
          <w:rFonts w:ascii="Arial" w:hAnsi="Arial" w:cs="Arial"/>
          <w:sz w:val="24"/>
          <w:szCs w:val="24"/>
        </w:rPr>
      </w:pPr>
      <w:r w:rsidRPr="00D94AE8">
        <w:rPr>
          <w:rFonts w:ascii="Arial" w:hAnsi="Arial" w:cs="Arial"/>
          <w:sz w:val="24"/>
          <w:szCs w:val="24"/>
        </w:rPr>
        <w:t>Students training as Operating Department Practitioners (ODPs), alongside a range of other clinical learners, must complete substantial perioperative placement hours as a condition of their pre-registration programmes</w:t>
      </w:r>
      <w:r w:rsidR="00944B9F">
        <w:rPr>
          <w:rFonts w:ascii="Arial" w:hAnsi="Arial" w:cs="Arial"/>
          <w:sz w:val="24"/>
          <w:szCs w:val="24"/>
        </w:rPr>
        <w:t xml:space="preserve"> (</w:t>
      </w:r>
      <w:r w:rsidR="00944B9F" w:rsidRPr="00944B9F">
        <w:rPr>
          <w:rFonts w:ascii="Arial" w:hAnsi="Arial" w:cs="Arial"/>
          <w:sz w:val="24"/>
          <w:szCs w:val="24"/>
        </w:rPr>
        <w:t>College of Operating Department Practitioners, 2018)</w:t>
      </w:r>
      <w:r w:rsidRPr="00D94AE8">
        <w:rPr>
          <w:rFonts w:ascii="Arial" w:hAnsi="Arial" w:cs="Arial"/>
          <w:sz w:val="24"/>
          <w:szCs w:val="24"/>
        </w:rPr>
        <w:t>. The same capacity constraints also apply to registered staff who are new to the perioperative environment including newly qualified nurses or those unfamiliar with the operating theatre, undertaking a supernumerary induction period, and healthcare assistants or theatre support workers beginning work in theatres for the first time. Although these staff are not pre-registration learners, they place comparable demands on supervisory time and theatre capacity during their induction period, and the formula proposed in this paper is intended to apply to both groups.</w:t>
      </w:r>
    </w:p>
    <w:p w14:paraId="5A8BADA2" w14:textId="77777777" w:rsidR="006A3699" w:rsidRPr="00D94AE8" w:rsidRDefault="006A3699" w:rsidP="006A3699">
      <w:pPr>
        <w:spacing w:line="360" w:lineRule="auto"/>
        <w:rPr>
          <w:rFonts w:ascii="Arial" w:hAnsi="Arial" w:cs="Arial"/>
          <w:sz w:val="24"/>
          <w:szCs w:val="24"/>
        </w:rPr>
      </w:pPr>
    </w:p>
    <w:p w14:paraId="3B90FE56"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For the purposes of this paper, the term “learner” is used to refer collectively to pre-registration students, T Level Health students on industry placement, and registered or unregistered staff undertaking a supernumerary induction or preceptorship period in the perioperative environment, including newly registered nurses and ODPs, and healthcare assistants or theatre support workers new to the role. Where a distinction between these groups matters, this is stated explicitly.</w:t>
      </w:r>
    </w:p>
    <w:p w14:paraId="447A04F4"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lastRenderedPageBreak/>
        <w:t>Much of the published evidence underpinning this paper, including the Health Education England workforce reporting and the CODP practice placement standards, is specific to the ODP profession, reflecting the current state of the available literature rather than a deliberate focus on this professional group alone. Where the formula and its supporting evidence must hold across both ODP and nursing learners, the Nursing and Midwifery Council’s Standards for Student Supervision and Assessment (NMC, 2018) are used as the parallel anchor for nursing, and this is made explicit at each point in the paper where it applies.</w:t>
      </w:r>
    </w:p>
    <w:p w14:paraId="181CEB12" w14:textId="77777777" w:rsidR="006A3699" w:rsidRPr="00D94AE8" w:rsidRDefault="006A3699" w:rsidP="006A3699">
      <w:pPr>
        <w:spacing w:line="360" w:lineRule="auto"/>
        <w:rPr>
          <w:rFonts w:ascii="Arial" w:hAnsi="Arial" w:cs="Arial"/>
          <w:sz w:val="24"/>
          <w:szCs w:val="24"/>
        </w:rPr>
      </w:pPr>
    </w:p>
    <w:p w14:paraId="57BA8814" w14:textId="6E7E1EDC" w:rsidR="006A3699" w:rsidRDefault="09555241" w:rsidP="6C36B86B">
      <w:pPr>
        <w:spacing w:line="360" w:lineRule="auto"/>
        <w:rPr>
          <w:rFonts w:ascii="Arial" w:hAnsi="Arial" w:cs="Arial"/>
          <w:sz w:val="24"/>
          <w:szCs w:val="24"/>
        </w:rPr>
      </w:pPr>
      <w:r w:rsidRPr="6C36B86B">
        <w:rPr>
          <w:rFonts w:ascii="Arial" w:hAnsi="Arial" w:cs="Arial"/>
          <w:sz w:val="24"/>
          <w:szCs w:val="24"/>
        </w:rPr>
        <w:t>The quality and volume of those placements directly determine the rate at which qualified practitioners enter the perioperative workforce.</w:t>
      </w:r>
      <w:r w:rsidR="1957DBF9" w:rsidRPr="6C36B86B">
        <w:rPr>
          <w:rFonts w:ascii="Arial" w:hAnsi="Arial" w:cs="Arial"/>
          <w:sz w:val="24"/>
          <w:szCs w:val="24"/>
        </w:rPr>
        <w:t xml:space="preserve"> </w:t>
      </w:r>
      <w:r w:rsidR="73684FA7" w:rsidRPr="6C36B86B">
        <w:rPr>
          <w:rFonts w:ascii="Arial" w:hAnsi="Arial" w:cs="Arial"/>
          <w:sz w:val="24"/>
          <w:szCs w:val="24"/>
        </w:rPr>
        <w:t>The challenge, however, is not primarily one of willingness or awareness. Theatre departments across England vary significantly in the number of learners they accept per year, and many impose caps that are substantially lower than their physical environment could support. Some trusts accept four learners per year regardless of their theatre suite size. That ceiling is not set by patient safety data, regulatory requirement, or any published standard. It reflects custom, risk aversion, and the absence of any methodology for calculating what a department can reasonably accommodate.</w:t>
      </w:r>
      <w:r w:rsidR="29336FE2" w:rsidRPr="6C36B86B">
        <w:rPr>
          <w:rFonts w:ascii="Arial" w:hAnsi="Arial" w:cs="Arial"/>
          <w:sz w:val="24"/>
          <w:szCs w:val="24"/>
        </w:rPr>
        <w:t xml:space="preserve"> Limited peer reviewed or em</w:t>
      </w:r>
      <w:r w:rsidR="245E0B1C" w:rsidRPr="6C36B86B">
        <w:rPr>
          <w:rFonts w:ascii="Arial" w:hAnsi="Arial" w:cs="Arial"/>
          <w:sz w:val="24"/>
          <w:szCs w:val="24"/>
        </w:rPr>
        <w:t>pirical</w:t>
      </w:r>
      <w:r w:rsidR="29336FE2" w:rsidRPr="6C36B86B">
        <w:rPr>
          <w:rFonts w:ascii="Arial" w:hAnsi="Arial" w:cs="Arial"/>
          <w:sz w:val="24"/>
          <w:szCs w:val="24"/>
        </w:rPr>
        <w:t xml:space="preserve"> evidence-based research has been undertaken in this area.</w:t>
      </w:r>
    </w:p>
    <w:p w14:paraId="2A034E12" w14:textId="77777777" w:rsidR="006A3699" w:rsidRPr="00D94AE8" w:rsidRDefault="006A3699" w:rsidP="006A3699">
      <w:pPr>
        <w:spacing w:line="360" w:lineRule="auto"/>
        <w:rPr>
          <w:rFonts w:ascii="Arial" w:hAnsi="Arial" w:cs="Arial"/>
          <w:sz w:val="24"/>
          <w:szCs w:val="24"/>
        </w:rPr>
      </w:pPr>
    </w:p>
    <w:p w14:paraId="5BD6C41B"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The consequences of this are significant. Health Education England (now NHS England) identified theatre placement capacity as a direct limiter on the growth of the ODP workforce in its 2022 Scoping the Future of the ODP Workforce report, noting that placement capacity limiting the numbers who can train was among the principal challenges trusts reported (Health Education England, 2022). The same report identified competition for theatre placements across multiple professional groups as a compounding factor, with ODPs, nurses, paramedics, radiographers, anaesthesia associates, junior doctors, surgical trainees, and nursing associates all drawing on the same finite environment (Health Education England, 2022). Similar pressures have been documented across theatre nursing and anaesthetic nurse training routes, though the peer-reviewed evidence base for other professional groups is more limited.</w:t>
      </w:r>
    </w:p>
    <w:p w14:paraId="592E2928"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lastRenderedPageBreak/>
        <w:t>Recruitment campaigns, awareness events, open days, and profile-raising activities can generate interest in perioperative careers. However, they cannot, by themselves, increase the number of training places available. If a trust accepts four learners per year, no amount of demand-side activity closes the gap between the number of people who want to train and the number who can.</w:t>
      </w:r>
    </w:p>
    <w:p w14:paraId="5AEDCC34" w14:textId="77777777" w:rsidR="006A3699" w:rsidRPr="00D94AE8" w:rsidRDefault="006A3699" w:rsidP="006A3699">
      <w:pPr>
        <w:spacing w:line="360" w:lineRule="auto"/>
        <w:rPr>
          <w:rFonts w:ascii="Arial" w:hAnsi="Arial" w:cs="Arial"/>
          <w:sz w:val="24"/>
          <w:szCs w:val="24"/>
        </w:rPr>
      </w:pPr>
    </w:p>
    <w:p w14:paraId="6FBFDD93" w14:textId="44F4B01A" w:rsidR="006A3699" w:rsidRDefault="006A3699" w:rsidP="006A3699">
      <w:pPr>
        <w:spacing w:line="360" w:lineRule="auto"/>
        <w:rPr>
          <w:rFonts w:ascii="Arial" w:hAnsi="Arial" w:cs="Arial"/>
          <w:sz w:val="24"/>
          <w:szCs w:val="24"/>
        </w:rPr>
      </w:pPr>
      <w:r w:rsidRPr="00D94AE8">
        <w:rPr>
          <w:rFonts w:ascii="Arial" w:hAnsi="Arial" w:cs="Arial"/>
          <w:sz w:val="24"/>
          <w:szCs w:val="24"/>
        </w:rPr>
        <w:t>This paper proposes a formula for calculating the Physical Capacity Index (PCI) of a theatre department: a reproducible, transparent methodology for determining the maximum number of learners a department can accommodate on any given day based on its physical and organisational parameters. The formula is not a finished standard. It is offered as a contribution to a conversation that the NHS perioperative education community has not yet had in a systematic way, and as a tool for piloting, scrutiny, and refinement. The PCI is presented throughout this paper as a range rather than a single point estimate, reflecting the uncertainty in the operational attrition factor discussed later in the paper. Where a range is calculated, figures are rounded down rather than to the nearest whole number. This reflects a deliberate conservative bias: understating a department’s capacity is a safer starting position than overstating it, since a figure that proves too high risks overwhelming supervisory capacity and undermining confidence in the tool, whereas a figure that proves conservative can be revised upward with experience.</w:t>
      </w:r>
      <w:r w:rsidR="00952243">
        <w:rPr>
          <w:rFonts w:ascii="Arial" w:hAnsi="Arial" w:cs="Arial"/>
          <w:sz w:val="24"/>
          <w:szCs w:val="24"/>
        </w:rPr>
        <w:t xml:space="preserve"> </w:t>
      </w:r>
    </w:p>
    <w:p w14:paraId="04AF8B0D" w14:textId="290DF487" w:rsidR="00952243" w:rsidRDefault="00952243" w:rsidP="006A3699">
      <w:pPr>
        <w:spacing w:line="360" w:lineRule="auto"/>
        <w:rPr>
          <w:rFonts w:ascii="Arial" w:hAnsi="Arial" w:cs="Arial"/>
          <w:sz w:val="24"/>
          <w:szCs w:val="24"/>
        </w:rPr>
      </w:pPr>
      <w:r w:rsidRPr="00952243">
        <w:rPr>
          <w:rFonts w:ascii="Arial" w:hAnsi="Arial" w:cs="Arial"/>
          <w:sz w:val="24"/>
          <w:szCs w:val="24"/>
        </w:rPr>
        <w:t xml:space="preserve">The PCI is also intended to answer a question that current NHS England placement capacity guidance does not, and this is not limited to a single model. NHS England's AHP Fair Share Model calculates placement capacity from the registered workforce, setting a minimum number of placement weeks per whole-time-equivalent qualified practitioner by profession and expressing this as demand divided by workforce capacity (NHS England, 2024). The Placement Utilisation Assessment Tool, published in 2025 as part of NHS England's Coaching Models in Clinical Practice and Placement Utilisation Toolkit, structures its own capacity assessment around the services an organisation provides and their operating hours, the staffing establishment and skill mix, and an assessment of utilisation based on staffing availability (NHS England, 2025). Neither tool references the number of physical spaces, rooms, or clinical areas available </w:t>
      </w:r>
      <w:r w:rsidRPr="00952243">
        <w:rPr>
          <w:rFonts w:ascii="Arial" w:hAnsi="Arial" w:cs="Arial"/>
          <w:sz w:val="24"/>
          <w:szCs w:val="24"/>
        </w:rPr>
        <w:lastRenderedPageBreak/>
        <w:t xml:space="preserve">to host learners. </w:t>
      </w:r>
      <w:r w:rsidR="00C40B0D" w:rsidRPr="00C40B0D">
        <w:rPr>
          <w:rFonts w:ascii="Arial" w:hAnsi="Arial" w:cs="Arial"/>
          <w:sz w:val="24"/>
          <w:szCs w:val="24"/>
        </w:rPr>
        <w:t>This is not because the distinction is unrecognised: qualitative research on allied health placement quality has separately identified availability of physical space as a factor distinct from staffing and workforce considerations (Bell et al., 2025)</w:t>
      </w:r>
      <w:r w:rsidR="00C40B0D">
        <w:rPr>
          <w:rFonts w:ascii="Arial" w:hAnsi="Arial" w:cs="Arial"/>
          <w:sz w:val="24"/>
          <w:szCs w:val="24"/>
        </w:rPr>
        <w:t>.</w:t>
      </w:r>
      <w:r w:rsidR="0042715D">
        <w:rPr>
          <w:rFonts w:ascii="Arial" w:hAnsi="Arial" w:cs="Arial"/>
          <w:sz w:val="24"/>
          <w:szCs w:val="24"/>
        </w:rPr>
        <w:t xml:space="preserve"> </w:t>
      </w:r>
      <w:r w:rsidR="0042715D" w:rsidRPr="0042715D">
        <w:rPr>
          <w:rFonts w:ascii="Arial" w:hAnsi="Arial" w:cs="Arial"/>
          <w:sz w:val="24"/>
          <w:szCs w:val="24"/>
        </w:rPr>
        <w:t>No workforce-based capacity tool, however, has translated this into a calculable methodology</w:t>
      </w:r>
      <w:r w:rsidR="0042715D">
        <w:rPr>
          <w:rFonts w:ascii="Arial" w:hAnsi="Arial" w:cs="Arial"/>
          <w:sz w:val="24"/>
          <w:szCs w:val="24"/>
        </w:rPr>
        <w:t>.</w:t>
      </w:r>
      <w:r w:rsidR="00C40B0D">
        <w:rPr>
          <w:rFonts w:ascii="Arial" w:hAnsi="Arial" w:cs="Arial"/>
          <w:sz w:val="24"/>
          <w:szCs w:val="24"/>
        </w:rPr>
        <w:t xml:space="preserve"> </w:t>
      </w:r>
      <w:r w:rsidRPr="00952243">
        <w:rPr>
          <w:rFonts w:ascii="Arial" w:hAnsi="Arial" w:cs="Arial"/>
          <w:sz w:val="24"/>
          <w:szCs w:val="24"/>
        </w:rPr>
        <w:t>Both are workforce-capacity models: they answer what a staffing establishment can be asked to deliver, not what a physical environment can hold. A theatre department could increase its registered establishment substantially and still be unable to accommodate a single additional learner if its theatres and recovery bays are already at capacity on the days those learners would attend. The reverse also holds: a department operating below its physical ceiling may appear, on a workforce measure alone, to already be fully committed. The PCI calculates the constraint these tools do not, the physical and organisational ceiling set by the department's theatres and recovery bays, and is proposed as a complement to workforce-based benchmarking rather than a substitute for it.</w:t>
      </w:r>
    </w:p>
    <w:p w14:paraId="2EA445D1" w14:textId="77777777" w:rsidR="006A3699" w:rsidRPr="00D94AE8" w:rsidRDefault="006A3699" w:rsidP="006A3699">
      <w:pPr>
        <w:spacing w:line="360" w:lineRule="auto"/>
        <w:rPr>
          <w:rFonts w:ascii="Arial" w:hAnsi="Arial" w:cs="Arial"/>
          <w:sz w:val="24"/>
          <w:szCs w:val="24"/>
        </w:rPr>
      </w:pPr>
    </w:p>
    <w:p w14:paraId="6F172EAD" w14:textId="77777777" w:rsidR="006A3699" w:rsidRPr="00D94AE8" w:rsidRDefault="006A3699" w:rsidP="006A3699">
      <w:pPr>
        <w:spacing w:line="360" w:lineRule="auto"/>
        <w:rPr>
          <w:rFonts w:ascii="Arial" w:hAnsi="Arial" w:cs="Arial"/>
          <w:b/>
          <w:bCs/>
          <w:sz w:val="24"/>
          <w:szCs w:val="24"/>
        </w:rPr>
      </w:pPr>
      <w:r w:rsidRPr="00D94AE8">
        <w:rPr>
          <w:rFonts w:ascii="Arial" w:hAnsi="Arial" w:cs="Arial"/>
          <w:b/>
          <w:bCs/>
          <w:sz w:val="24"/>
          <w:szCs w:val="24"/>
        </w:rPr>
        <w:t>Background</w:t>
      </w:r>
    </w:p>
    <w:p w14:paraId="67669530"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Clinical placements in theatre environments are among the most difficult to secure and the least consistently governed in healthcare education. Unlike nursing placements, which operate under a national capacity planning framework supported by Health Education England regional teams and placed within the NHS Education Contract, perioperative placements for ODPs and other professional groups have historically been arranged bilaterally between individual Higher Educational Institutes (HEI) and individual trusts, with capacity determined locally and reviewed infrequently.</w:t>
      </w:r>
    </w:p>
    <w:p w14:paraId="65763378"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This governance pathway applies to pre-registration placements arranged through HEI partnerships. Supernumerary induction for newly registered staff and support workers follows a separate, internally governed pathway, sitting within the trust’s own preceptorship and induction policy rather than an HEI placement agreement. Both pathways draw on the same finite theatre capacity, which is the structural link this paper addresses, but they are governed, funded, and reviewed through entirely different mechanisms.</w:t>
      </w:r>
    </w:p>
    <w:p w14:paraId="02A1650E" w14:textId="77777777" w:rsidR="006A3699" w:rsidRPr="00D94AE8" w:rsidRDefault="006A3699" w:rsidP="006A3699">
      <w:pPr>
        <w:spacing w:line="360" w:lineRule="auto"/>
        <w:rPr>
          <w:rFonts w:ascii="Arial" w:hAnsi="Arial" w:cs="Arial"/>
          <w:sz w:val="24"/>
          <w:szCs w:val="24"/>
        </w:rPr>
      </w:pPr>
    </w:p>
    <w:p w14:paraId="04AE7121"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lastRenderedPageBreak/>
        <w:t>This pattern is not unique to the perioperative environment. McBride et al. (2018), reporting on a jurisdiction-wide initiative to build allied health placement capacity in Queensland, found that the rate of growth in placement offers consistently failed to match the rate of growth in university student cohort numbers, and identified collaboration, dedicated clinical education resource, and profession-specific governance as the primary enablers of sustained placement provision, rather than any change in physical infrastructure. Taylor et al. (2017), examining the challenges of securing and sustaining nursing and allied health placements more broadly, similarly found that placement shortfalls were driven by relationship management, communication, and administrative burden between education providers and host organisations, rather than by fixed physical capacity limits. Both studies support the distinction this paper draws between a physical capacity question and a governance and methodology question.</w:t>
      </w:r>
    </w:p>
    <w:p w14:paraId="3336A475" w14:textId="5469FB2D" w:rsidR="006A3699" w:rsidRDefault="006A3699" w:rsidP="006A3699">
      <w:pPr>
        <w:spacing w:line="360" w:lineRule="auto"/>
        <w:rPr>
          <w:rFonts w:ascii="Arial" w:hAnsi="Arial" w:cs="Arial"/>
          <w:sz w:val="24"/>
          <w:szCs w:val="24"/>
        </w:rPr>
      </w:pPr>
      <w:r w:rsidRPr="00D94AE8">
        <w:rPr>
          <w:rFonts w:ascii="Arial" w:hAnsi="Arial" w:cs="Arial"/>
          <w:sz w:val="24"/>
          <w:szCs w:val="24"/>
        </w:rPr>
        <w:t>The 2022 ODP workforce report described theatre placements as competitive, noting that ODPs train alongside nurses, paramedics, radiographers, anaesthesia associates, junior doctors, anaesthetic trainees, surgical trainees, assistant practitioners, and nursing associates (Health Education England, 2022). The report recommended that ODPs should be prioritised to have clinical placements in theatres above all others in the face of limited capacity</w:t>
      </w:r>
      <w:r w:rsidR="008D648C">
        <w:rPr>
          <w:rFonts w:ascii="Arial" w:hAnsi="Arial" w:cs="Arial"/>
          <w:sz w:val="24"/>
          <w:szCs w:val="24"/>
        </w:rPr>
        <w:t xml:space="preserve"> due to the specific nature of the role and requirements for completion of </w:t>
      </w:r>
      <w:r w:rsidR="00EF3975">
        <w:rPr>
          <w:rFonts w:ascii="Arial" w:hAnsi="Arial" w:cs="Arial"/>
          <w:sz w:val="24"/>
          <w:szCs w:val="24"/>
        </w:rPr>
        <w:t>the clinical component of their course unachievable outside of the operating theatre</w:t>
      </w:r>
      <w:r w:rsidRPr="00D94AE8">
        <w:rPr>
          <w:rFonts w:ascii="Arial" w:hAnsi="Arial" w:cs="Arial"/>
          <w:sz w:val="24"/>
          <w:szCs w:val="24"/>
        </w:rPr>
        <w:t>, a recommendation that has not been universally adopted and that does not address the underlying capacity problem (Health Education England, 2022).</w:t>
      </w:r>
    </w:p>
    <w:p w14:paraId="524FE014" w14:textId="77777777" w:rsidR="006A3699" w:rsidRPr="00D94AE8" w:rsidRDefault="006A3699" w:rsidP="006A3699">
      <w:pPr>
        <w:spacing w:line="360" w:lineRule="auto"/>
        <w:rPr>
          <w:rFonts w:ascii="Arial" w:hAnsi="Arial" w:cs="Arial"/>
          <w:sz w:val="24"/>
          <w:szCs w:val="24"/>
        </w:rPr>
      </w:pPr>
    </w:p>
    <w:p w14:paraId="05AAA528" w14:textId="595877F2" w:rsidR="006A3699" w:rsidRPr="00D94AE8" w:rsidRDefault="00CE7037" w:rsidP="006A3699">
      <w:pPr>
        <w:spacing w:line="360" w:lineRule="auto"/>
        <w:rPr>
          <w:rFonts w:ascii="Arial" w:hAnsi="Arial" w:cs="Arial"/>
          <w:sz w:val="24"/>
          <w:szCs w:val="24"/>
        </w:rPr>
      </w:pPr>
      <w:r w:rsidRPr="00CE7037">
        <w:rPr>
          <w:rFonts w:ascii="Arial" w:hAnsi="Arial" w:cs="Arial"/>
          <w:sz w:val="24"/>
          <w:szCs w:val="24"/>
        </w:rPr>
        <w:t xml:space="preserve">The same report recommended a national trial of the fair share capacity model as used in the North West, describing it as a mechanism to benchmark the provision of practice learning relative to workforce capacity (Health Education England, 2022). As set out in NHS England's most recent update, the model sets a minimum number of placement weeks per whole-time-equivalent qualified staff member by profession, currently four weeks per FTE for occupational therapy, five for speech and language therapy, and six for physiotherapy, calculated as placement weeks required divided by registered workforce (NHS England, 2024). It was developed for physiotherapy, occupational therapy, and speech and language therapy services, and NHS Employers describes its </w:t>
      </w:r>
      <w:r w:rsidRPr="00CE7037">
        <w:rPr>
          <w:rFonts w:ascii="Arial" w:hAnsi="Arial" w:cs="Arial"/>
          <w:sz w:val="24"/>
          <w:szCs w:val="24"/>
        </w:rPr>
        <w:lastRenderedPageBreak/>
        <w:t>purpose as helping employers benchmark placement capacity against workforce capacity (NHS Employers, 2025c). A second, independent NHS England tool follows the same logic: the Placement Utilisation Assessment Tool structures its capacity assessment around the services an organisation provides and their operating hours, the staffing establishment and skill mix, and an assessment of utilisation based on staffing availability (NHS England, 2025). Neither tool's published methodology references physical space, room or bay numbers, or facility capacity of any kind. For the perioperative environment, where theatre and recovery bay numbers are fixed and cannot be expanded by increasing staff establishment alone, this omission is material rather than incidental. No published operationalisation of the fair share model, or any comparable workforce-based tool, for the perioperative environment has been identified in the peer-reviewed or grey literature, and no formula or methodology for calculating theatre-specific physical placement capacity has been identified in a review of available sources.</w:t>
      </w:r>
    </w:p>
    <w:p w14:paraId="7E8E925F"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Interviews and surveys conducted as part of the ODP workforce scoping project identified that theatre departments reported financial support for backfill and placement capacity limiting the numbers who can train as the two primary constraints on apprenticeship expansion (Health Education England, 2022). Neither of these constraints is grounded in a calculation of how many learners the department can physically accommodate. They reflect resource pressures and the cognitive load placed on practice educators and clinical staff when managing learners in a high-pressure environment.</w:t>
      </w:r>
    </w:p>
    <w:p w14:paraId="3E92321C" w14:textId="77777777" w:rsidR="006A3699" w:rsidRPr="00D94AE8" w:rsidRDefault="006A3699" w:rsidP="006A3699">
      <w:pPr>
        <w:spacing w:line="360" w:lineRule="auto"/>
        <w:rPr>
          <w:rFonts w:ascii="Arial" w:hAnsi="Arial" w:cs="Arial"/>
          <w:sz w:val="24"/>
          <w:szCs w:val="24"/>
        </w:rPr>
      </w:pPr>
    </w:p>
    <w:p w14:paraId="09992FB8"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If a trust accepts four learners per year because its four-theatre suite genuinely cannot accommodate more, that is a physical capacity question and the proposed formula would confirm or challenge that position. If a trust accepts four learners per year because that is what it has always done, or because educators are stretched, or because no one has calculated what the department could actually support, that is a governance and methodology question. The formula does not resolve the second problem on its own, but it makes the distinction visible and creates the conditions for an evidence-based conversation.</w:t>
      </w:r>
    </w:p>
    <w:p w14:paraId="54C86DA0" w14:textId="77777777" w:rsidR="006A3699" w:rsidRPr="00D94AE8" w:rsidRDefault="006A3699" w:rsidP="006A3699">
      <w:pPr>
        <w:spacing w:line="360" w:lineRule="auto"/>
        <w:rPr>
          <w:rFonts w:ascii="Arial" w:hAnsi="Arial" w:cs="Arial"/>
          <w:sz w:val="24"/>
          <w:szCs w:val="24"/>
        </w:rPr>
      </w:pPr>
    </w:p>
    <w:p w14:paraId="28226D6A"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The downstream effects of constrained placement capacity are well established for the ODP workforce. The 2022 scoping report documented that placement capacity limiting the numbers who can train was a challenge across both direct entry and apprenticeship routes, with backfill funding and placement numbers identified as the two factors most likely to constrain apprenticeship growth (Health Education England, 2022). Given that ODP apprenticeship numbers grew from 23 in 2018/19 to 185 in 2020/21 before data became unavailable, and that appetite from trusts remained high, the ceiling on further growth is more likely to be placement supply than intent (Health Education England, 2022).</w:t>
      </w:r>
    </w:p>
    <w:p w14:paraId="4BCC50A0" w14:textId="77777777" w:rsidR="006A3699" w:rsidRPr="00D94AE8" w:rsidRDefault="006A3699" w:rsidP="006A3699">
      <w:pPr>
        <w:spacing w:line="360" w:lineRule="auto"/>
        <w:rPr>
          <w:rFonts w:ascii="Arial" w:hAnsi="Arial" w:cs="Arial"/>
          <w:sz w:val="24"/>
          <w:szCs w:val="24"/>
        </w:rPr>
      </w:pPr>
    </w:p>
    <w:p w14:paraId="783DF126"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The same dynamic applies to T Level Health students undertaking industry placements in perioperative settings. Research involving 20 NHS trusts, integrated care systems, and networks found that 58% of T Level Health completers progress to higher education in health professions including ODP, nursing, and radiography, and that 90% progress to apprenticeship, employment, or education in a related field (Boniface and Whalley, 2025). If theatre departments do not engage with this pipeline, the early career exposure that converts interest into application does not occur, and the recruitment problem that workforce awareness campaigns attempt to address is never fully resolved.</w:t>
      </w:r>
    </w:p>
    <w:p w14:paraId="7B5935A3" w14:textId="77777777" w:rsidR="006A3699" w:rsidRPr="00D94AE8" w:rsidRDefault="006A3699" w:rsidP="006A3699">
      <w:pPr>
        <w:spacing w:line="360" w:lineRule="auto"/>
        <w:rPr>
          <w:rFonts w:ascii="Arial" w:hAnsi="Arial" w:cs="Arial"/>
          <w:sz w:val="24"/>
          <w:szCs w:val="24"/>
        </w:rPr>
      </w:pPr>
    </w:p>
    <w:p w14:paraId="286BB1B7" w14:textId="77777777" w:rsidR="006A3699" w:rsidRPr="00D94AE8" w:rsidRDefault="006A3699" w:rsidP="006A3699">
      <w:pPr>
        <w:spacing w:line="360" w:lineRule="auto"/>
        <w:rPr>
          <w:rFonts w:ascii="Arial" w:hAnsi="Arial" w:cs="Arial"/>
          <w:b/>
          <w:bCs/>
          <w:sz w:val="24"/>
          <w:szCs w:val="24"/>
        </w:rPr>
      </w:pPr>
      <w:r w:rsidRPr="00D94AE8">
        <w:rPr>
          <w:rFonts w:ascii="Arial" w:hAnsi="Arial" w:cs="Arial"/>
          <w:b/>
          <w:bCs/>
          <w:sz w:val="24"/>
          <w:szCs w:val="24"/>
        </w:rPr>
        <w:t>Formula Development</w:t>
      </w:r>
    </w:p>
    <w:p w14:paraId="468D8AED"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The Physical Capacity Index was developed through synthesis of the placement capacity, supervisory ratio, and theatre operational evidence described in the Background section, combined with the authors</w:t>
      </w:r>
      <w:r>
        <w:rPr>
          <w:rFonts w:ascii="Arial" w:hAnsi="Arial" w:cs="Arial"/>
          <w:sz w:val="24"/>
          <w:szCs w:val="24"/>
        </w:rPr>
        <w:t>’</w:t>
      </w:r>
      <w:r w:rsidRPr="00D94AE8">
        <w:rPr>
          <w:rFonts w:ascii="Arial" w:hAnsi="Arial" w:cs="Arial"/>
          <w:sz w:val="24"/>
          <w:szCs w:val="24"/>
        </w:rPr>
        <w:t xml:space="preserve"> clinical and educational experience within perioperative practice. Each coefficient in the formula was derived through this process rather than through a formal consensus exercise. Where a specific evidence source exists, the coefficient is grounded in it directly: the theatre learner allowance draws on Loewen et al. (2017), and the plausible range for the attrition factor draws on Mustafa et al. (2020). Where the evidence base does not yet extend to a specific figure, </w:t>
      </w:r>
      <w:r w:rsidRPr="00D94AE8">
        <w:rPr>
          <w:rFonts w:ascii="Arial" w:hAnsi="Arial" w:cs="Arial"/>
          <w:sz w:val="24"/>
          <w:szCs w:val="24"/>
        </w:rPr>
        <w:lastRenderedPageBreak/>
        <w:t>most notably the recovery bay divisor and the precise attrition percentage, the coefficient reflects professional judgement and is presented as such.</w:t>
      </w:r>
    </w:p>
    <w:p w14:paraId="3F1790F2" w14:textId="77777777" w:rsidR="006A3699" w:rsidRPr="00D94AE8" w:rsidRDefault="006A3699" w:rsidP="006A3699">
      <w:pPr>
        <w:spacing w:line="360" w:lineRule="auto"/>
        <w:rPr>
          <w:rFonts w:ascii="Arial" w:hAnsi="Arial" w:cs="Arial"/>
          <w:sz w:val="24"/>
          <w:szCs w:val="24"/>
        </w:rPr>
      </w:pPr>
    </w:p>
    <w:p w14:paraId="06206E82"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This paper therefore offers the formula as a first-generation proposal rather than a validated instrument. A structured consensus process involving theatre managers, lead practice educators, and professional body representatives, such as a Delphi study, is identified in the Future Research Priorities section as the appropriate next step for testing and refining each coefficient (Hasson, Keeney and McKenna, 2000). Until that work is completed, the specific numeric values in the formula should be treated as a starting point for local application and challenge, not as fixed constants.</w:t>
      </w:r>
    </w:p>
    <w:p w14:paraId="253C157E" w14:textId="77777777" w:rsidR="006A3699" w:rsidRPr="00D94AE8" w:rsidRDefault="006A3699" w:rsidP="006A3699">
      <w:pPr>
        <w:spacing w:line="360" w:lineRule="auto"/>
        <w:rPr>
          <w:rFonts w:ascii="Arial" w:hAnsi="Arial" w:cs="Arial"/>
          <w:sz w:val="24"/>
          <w:szCs w:val="24"/>
        </w:rPr>
      </w:pPr>
    </w:p>
    <w:p w14:paraId="0D115952" w14:textId="77777777" w:rsidR="006A3699" w:rsidRPr="00D94AE8" w:rsidRDefault="006A3699" w:rsidP="006A3699">
      <w:pPr>
        <w:spacing w:line="360" w:lineRule="auto"/>
        <w:rPr>
          <w:rFonts w:ascii="Arial" w:hAnsi="Arial" w:cs="Arial"/>
          <w:b/>
          <w:bCs/>
          <w:sz w:val="24"/>
          <w:szCs w:val="24"/>
        </w:rPr>
      </w:pPr>
      <w:r w:rsidRPr="00D94AE8">
        <w:rPr>
          <w:rFonts w:ascii="Arial" w:hAnsi="Arial" w:cs="Arial"/>
          <w:b/>
          <w:bCs/>
          <w:sz w:val="24"/>
          <w:szCs w:val="24"/>
        </w:rPr>
        <w:t>The Physical Capacity Index Formula</w:t>
      </w:r>
    </w:p>
    <w:p w14:paraId="6D9C4A65" w14:textId="77777777" w:rsidR="006A3699" w:rsidRPr="00D94AE8" w:rsidRDefault="006A3699" w:rsidP="006A3699">
      <w:pPr>
        <w:spacing w:line="360" w:lineRule="auto"/>
        <w:rPr>
          <w:rFonts w:ascii="Arial" w:hAnsi="Arial" w:cs="Arial"/>
          <w:b/>
          <w:bCs/>
          <w:i/>
          <w:iCs/>
          <w:sz w:val="24"/>
          <w:szCs w:val="24"/>
        </w:rPr>
      </w:pPr>
      <w:r w:rsidRPr="00D94AE8">
        <w:rPr>
          <w:rFonts w:ascii="Arial" w:hAnsi="Arial" w:cs="Arial"/>
          <w:b/>
          <w:bCs/>
          <w:i/>
          <w:iCs/>
          <w:sz w:val="24"/>
          <w:szCs w:val="24"/>
        </w:rPr>
        <w:t>Operational Definitions</w:t>
      </w:r>
    </w:p>
    <w:p w14:paraId="1FDEF9F5"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For the formula to be applied consistently across departments, “operating theatre” and “day” require clear definitions.</w:t>
      </w:r>
    </w:p>
    <w:p w14:paraId="4827E9D2"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An operating theatre is counted for the purposes of this formula if it is staffed and running an elective or emergency list of at least four hours on the day in question. Theatres that are closed, held in reserve for emergency use only without a scheduled list, or undergoing maintenance or refurbishment on that day should not be counted. A theatre running a half-day list should still be counted, but theatre managers applying the formula locally may wish to apply a reduced local multiplier for half-day theatres rather than treating them as equivalent to a full-day theatre. The base formula does not distinguish between full-day and half-day lists, and this is identified as a further limitation below.</w:t>
      </w:r>
    </w:p>
    <w:p w14:paraId="3E41F182" w14:textId="77777777" w:rsidR="006A3699" w:rsidRPr="00D94AE8" w:rsidRDefault="006A3699" w:rsidP="006A3699">
      <w:pPr>
        <w:spacing w:line="360" w:lineRule="auto"/>
        <w:rPr>
          <w:rFonts w:ascii="Arial" w:hAnsi="Arial" w:cs="Arial"/>
          <w:sz w:val="24"/>
          <w:szCs w:val="24"/>
        </w:rPr>
      </w:pPr>
    </w:p>
    <w:p w14:paraId="02DAE85D"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 xml:space="preserve">A day, for the purposes of the formula, means a single standard operating day within the department’s normal working pattern, typically a weekday elective list day. The formula as presented does not account for variation in weekend, night, or emergency-only operating patterns, where theatre and recovery bay configurations, and the learners who could appropriately be present, differ substantially from elective daytime </w:t>
      </w:r>
      <w:r w:rsidRPr="00D94AE8">
        <w:rPr>
          <w:rFonts w:ascii="Arial" w:hAnsi="Arial" w:cs="Arial"/>
          <w:sz w:val="24"/>
          <w:szCs w:val="24"/>
        </w:rPr>
        <w:lastRenderedPageBreak/>
        <w:t>lists. Departments wishing to apply the formula to non-standard operating days should treat this as a separate local calculation, rather than an extension of the standard PCI.</w:t>
      </w:r>
    </w:p>
    <w:p w14:paraId="2310ECFD"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Recovery bays are counted on the same basis. Only bays open and staffed on the day in question should be included, not the total physical bay count if some bays are routinely closed due to staffing shortfalls.</w:t>
      </w:r>
    </w:p>
    <w:p w14:paraId="5B60580A" w14:textId="77777777" w:rsidR="006A3699" w:rsidRPr="00D94AE8" w:rsidRDefault="006A3699" w:rsidP="006A3699">
      <w:pPr>
        <w:spacing w:line="360" w:lineRule="auto"/>
        <w:rPr>
          <w:rFonts w:ascii="Arial" w:hAnsi="Arial" w:cs="Arial"/>
          <w:sz w:val="24"/>
          <w:szCs w:val="24"/>
        </w:rPr>
      </w:pPr>
    </w:p>
    <w:p w14:paraId="1A1E55F8" w14:textId="77777777" w:rsidR="006A3699" w:rsidRDefault="006A3699" w:rsidP="006A3699">
      <w:pPr>
        <w:spacing w:line="360" w:lineRule="auto"/>
        <w:jc w:val="center"/>
        <w:rPr>
          <w:rFonts w:ascii="Arial" w:hAnsi="Arial" w:cs="Arial"/>
          <w:b/>
          <w:bCs/>
          <w:sz w:val="24"/>
          <w:szCs w:val="24"/>
        </w:rPr>
      </w:pPr>
      <w:r w:rsidRPr="00D94AE8">
        <w:rPr>
          <w:rFonts w:ascii="Arial" w:hAnsi="Arial" w:cs="Arial"/>
          <w:b/>
          <w:bCs/>
          <w:sz w:val="24"/>
          <w:szCs w:val="24"/>
        </w:rPr>
        <w:t>PCI = [(Theatres x 2) + (Recovery bays / 2)] x 0.75</w:t>
      </w:r>
    </w:p>
    <w:p w14:paraId="18D4D8DF" w14:textId="77777777" w:rsidR="006A3699" w:rsidRPr="00D94AE8" w:rsidRDefault="006A3699" w:rsidP="006A3699">
      <w:pPr>
        <w:spacing w:line="360" w:lineRule="auto"/>
        <w:jc w:val="center"/>
        <w:rPr>
          <w:rFonts w:ascii="Arial" w:hAnsi="Arial" w:cs="Arial"/>
          <w:b/>
          <w:bCs/>
          <w:sz w:val="24"/>
          <w:szCs w:val="24"/>
        </w:rPr>
      </w:pPr>
    </w:p>
    <w:p w14:paraId="3890AB51"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Where PCI is the Physical Capacity Index: the maximum number of learners a theatre department can accommodate on any given operational day, before supervision requirements are applied.</w:t>
      </w:r>
    </w:p>
    <w:p w14:paraId="21092722"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Each component of the formula reflects a distinct aspect of the perioperative environment and is explained below.</w:t>
      </w:r>
    </w:p>
    <w:p w14:paraId="772EFB9F" w14:textId="77777777" w:rsidR="006A3699" w:rsidRPr="00D94AE8" w:rsidRDefault="006A3699" w:rsidP="006A3699">
      <w:pPr>
        <w:spacing w:line="360" w:lineRule="auto"/>
        <w:rPr>
          <w:rFonts w:ascii="Arial" w:hAnsi="Arial" w:cs="Arial"/>
          <w:sz w:val="24"/>
          <w:szCs w:val="24"/>
        </w:rPr>
      </w:pPr>
    </w:p>
    <w:p w14:paraId="6077EC69" w14:textId="77777777" w:rsidR="006A3699" w:rsidRPr="00D94AE8" w:rsidRDefault="006A3699" w:rsidP="006A3699">
      <w:pPr>
        <w:spacing w:line="360" w:lineRule="auto"/>
        <w:rPr>
          <w:rFonts w:ascii="Arial" w:hAnsi="Arial" w:cs="Arial"/>
          <w:b/>
          <w:bCs/>
          <w:i/>
          <w:iCs/>
          <w:sz w:val="24"/>
          <w:szCs w:val="24"/>
        </w:rPr>
      </w:pPr>
      <w:r w:rsidRPr="00D94AE8">
        <w:rPr>
          <w:rFonts w:ascii="Arial" w:hAnsi="Arial" w:cs="Arial"/>
          <w:b/>
          <w:bCs/>
          <w:i/>
          <w:iCs/>
          <w:sz w:val="24"/>
          <w:szCs w:val="24"/>
        </w:rPr>
        <w:t>Operating theatres (Theatres x 2)</w:t>
      </w:r>
    </w:p>
    <w:p w14:paraId="73B5567A"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Each active operating theatre can accommodate two learners without displacing the registered practitioners required for safe clinical operation. In a standard intraoperative configuration, the theatre team comprises at minimum one anaesthetic practitioner (ODP or nurse), two scrub practitioners, and one circulator. A learner placed in the anaesthetic role and a learner placed in the scrub or circulating role can observe and participate under direct supervision without occupying a role that a registered member of staff must hold. This two-learner-per-theatre figure reflects the standard team structure; specialties with expanded team configurations, such as cardiac surgery or robotic procedures, may tolerate more learners on given lists, but two is a conservative and defensible baseline.</w:t>
      </w:r>
    </w:p>
    <w:p w14:paraId="0EC37A76" w14:textId="77777777" w:rsidR="006A3699" w:rsidRPr="00D94AE8" w:rsidRDefault="006A3699" w:rsidP="006A3699">
      <w:pPr>
        <w:spacing w:line="360" w:lineRule="auto"/>
        <w:rPr>
          <w:rFonts w:ascii="Arial" w:hAnsi="Arial" w:cs="Arial"/>
          <w:sz w:val="24"/>
          <w:szCs w:val="24"/>
        </w:rPr>
      </w:pPr>
    </w:p>
    <w:p w14:paraId="7C3DC952" w14:textId="3D3E0A99" w:rsidR="006A3699" w:rsidRDefault="39EB181F" w:rsidP="006A3699">
      <w:pPr>
        <w:spacing w:line="360" w:lineRule="auto"/>
        <w:rPr>
          <w:rFonts w:ascii="Arial" w:hAnsi="Arial" w:cs="Arial"/>
          <w:sz w:val="24"/>
          <w:szCs w:val="24"/>
        </w:rPr>
      </w:pPr>
      <w:r w:rsidRPr="364FBEA2">
        <w:rPr>
          <w:rFonts w:ascii="Arial" w:hAnsi="Arial" w:cs="Arial"/>
          <w:sz w:val="24"/>
          <w:szCs w:val="24"/>
        </w:rPr>
        <w:t xml:space="preserve">This figure is also consistent with the wider evidence base on supervisory ratios in practice-based learning. Loewen et al. (2017), in a systematic review of </w:t>
      </w:r>
      <w:r w:rsidR="791589E7" w:rsidRPr="364FBEA2">
        <w:rPr>
          <w:rFonts w:ascii="Arial" w:hAnsi="Arial" w:cs="Arial"/>
          <w:sz w:val="24"/>
          <w:szCs w:val="24"/>
        </w:rPr>
        <w:t>learner: preceptor</w:t>
      </w:r>
      <w:r w:rsidRPr="364FBEA2">
        <w:rPr>
          <w:rFonts w:ascii="Arial" w:hAnsi="Arial" w:cs="Arial"/>
          <w:sz w:val="24"/>
          <w:szCs w:val="24"/>
        </w:rPr>
        <w:t xml:space="preserve"> ratios across health disciplines, found that one-to-one and, in some clinical contexts, two-to-one </w:t>
      </w:r>
      <w:r w:rsidR="02E2483F" w:rsidRPr="364FBEA2">
        <w:rPr>
          <w:rFonts w:ascii="Arial" w:hAnsi="Arial" w:cs="Arial"/>
          <w:sz w:val="24"/>
          <w:szCs w:val="24"/>
        </w:rPr>
        <w:t>learner: preceptor</w:t>
      </w:r>
      <w:r w:rsidRPr="364FBEA2">
        <w:rPr>
          <w:rFonts w:ascii="Arial" w:hAnsi="Arial" w:cs="Arial"/>
          <w:sz w:val="24"/>
          <w:szCs w:val="24"/>
        </w:rPr>
        <w:t xml:space="preserve"> models are the most commonly reported and best supported for maintaining both patient safety and educational quality</w:t>
      </w:r>
      <w:r w:rsidR="69E90F8E" w:rsidRPr="364FBEA2">
        <w:rPr>
          <w:rFonts w:ascii="Arial" w:hAnsi="Arial" w:cs="Arial"/>
          <w:sz w:val="24"/>
          <w:szCs w:val="24"/>
        </w:rPr>
        <w:t xml:space="preserve"> a finding </w:t>
      </w:r>
      <w:r w:rsidR="69E90F8E" w:rsidRPr="364FBEA2">
        <w:rPr>
          <w:rFonts w:ascii="Arial" w:hAnsi="Arial" w:cs="Arial"/>
          <w:sz w:val="24"/>
          <w:szCs w:val="24"/>
        </w:rPr>
        <w:lastRenderedPageBreak/>
        <w:t>consistent with international reporting of collaborative supervision models using two or three learners per supervisor in allied health placements (Rodger et al., 2008)</w:t>
      </w:r>
      <w:r w:rsidRPr="364FBEA2">
        <w:rPr>
          <w:rFonts w:ascii="Arial" w:hAnsi="Arial" w:cs="Arial"/>
          <w:sz w:val="24"/>
          <w:szCs w:val="24"/>
        </w:rPr>
        <w:t>. A two-learner ceiling per theatre, set against a theatre team of four registered practitioners, sits within this established range rather than outside it. This is also consistent with the College of Operating Department Practitioners’ (CODP) own standards for ODP practice placements, which require that learners are always supervised by a registered practitioner competent in the relevant area of practice, and that anyone acting as a Practice Educator has completed formal preparation and repeats mentor development every two years (CODP, 2021). The two-learner figure therefore reflects not only what a theatre team can physically absorb, but what the profession’s own supervision standard requires it to provide.</w:t>
      </w:r>
    </w:p>
    <w:p w14:paraId="6961416D" w14:textId="77777777" w:rsidR="006A3699" w:rsidRPr="00D94AE8" w:rsidRDefault="006A3699" w:rsidP="006A3699">
      <w:pPr>
        <w:spacing w:line="360" w:lineRule="auto"/>
        <w:rPr>
          <w:rFonts w:ascii="Arial" w:hAnsi="Arial" w:cs="Arial"/>
          <w:sz w:val="24"/>
          <w:szCs w:val="24"/>
        </w:rPr>
      </w:pPr>
    </w:p>
    <w:p w14:paraId="5317EF81"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The two-learner-per-theatre figure above is grounded primarily in CODP’s standards for ODP practice placements. Because the formula is intended to apply equally to theatre nursing students, it is worth establishing whether a comparable supervision standard exists for this learner group. The Nursing and Midwifery Council’s Standards for Student Supervision and Assessment set out an equivalent requirement, specifying that students must receive appropriate supervision, support, and structured assessment throughout their placement, delivered by practitioners who have themselves met the NMC’s preparation requirements for the practice supervisor and practice assessor roles (NMC, 2018). This provides a directly comparable, published supervision standard for nursing students in the perioperative environment, sitting alongside the CODP standard used for ODP students.</w:t>
      </w:r>
    </w:p>
    <w:p w14:paraId="584BF9D5" w14:textId="77777777" w:rsidR="006A3699" w:rsidRPr="00D94AE8" w:rsidRDefault="006A3699" w:rsidP="006A3699">
      <w:pPr>
        <w:spacing w:line="360" w:lineRule="auto"/>
        <w:rPr>
          <w:rFonts w:ascii="Arial" w:hAnsi="Arial" w:cs="Arial"/>
          <w:sz w:val="24"/>
          <w:szCs w:val="24"/>
        </w:rPr>
      </w:pPr>
    </w:p>
    <w:p w14:paraId="7BB928F1" w14:textId="77777777" w:rsidR="0039566E" w:rsidRDefault="006A3699" w:rsidP="006A3699">
      <w:pPr>
        <w:spacing w:line="360" w:lineRule="auto"/>
        <w:rPr>
          <w:rFonts w:ascii="Arial" w:hAnsi="Arial" w:cs="Arial"/>
          <w:sz w:val="24"/>
          <w:szCs w:val="24"/>
        </w:rPr>
      </w:pPr>
      <w:r w:rsidRPr="00D94AE8">
        <w:rPr>
          <w:rFonts w:ascii="Arial" w:hAnsi="Arial" w:cs="Arial"/>
          <w:sz w:val="24"/>
          <w:szCs w:val="24"/>
        </w:rPr>
        <w:t xml:space="preserve">The formula’s applicability is not limited to pre-registration students. Newly registered nurses undertaking preceptorship in a theatre environment are subject to a defined supernumerary period, which the National Preceptorship Framework for Nursing sets at a minimum of two weeks, equating to 75 hours, in addition to standard induction requirements (NHS England, 2022). During this period a newly registered nurse occupies theatre capacity and requires direct supervision in a manner comparable to a final-stage pre-registration student, even though their professional status is different. </w:t>
      </w:r>
      <w:r w:rsidR="0039566E" w:rsidRPr="0039566E">
        <w:rPr>
          <w:rFonts w:ascii="Arial" w:hAnsi="Arial" w:cs="Arial"/>
          <w:sz w:val="24"/>
          <w:szCs w:val="24"/>
        </w:rPr>
        <w:lastRenderedPageBreak/>
        <w:t>Healthcare assistants and theatre support workers new to the operating theatre environment place similar demands on supervisory time during their local induction. The Care Certificate, the national induction framework for the unregistered healthcare workforce jointly owned by Skills for Care and NHS England (formerly Health Education England), applies to this group, but it sets fifteen competency standards rather than a supervisory ratio or induction duration comparable to the CODP or NMC standards discussed above (Skills for Care and Health Education England, 2015). The absence of a quantified supervision requirement for this group, rather than the absence of any standard at all, is acknowledged as a gap in the current evidence base.</w:t>
      </w:r>
    </w:p>
    <w:p w14:paraId="552E58AE" w14:textId="5C3F1944" w:rsidR="006A3699" w:rsidRDefault="006A3699" w:rsidP="006A3699">
      <w:pPr>
        <w:spacing w:line="360" w:lineRule="auto"/>
        <w:rPr>
          <w:rFonts w:ascii="Arial" w:hAnsi="Arial" w:cs="Arial"/>
          <w:sz w:val="24"/>
          <w:szCs w:val="24"/>
        </w:rPr>
      </w:pPr>
      <w:r w:rsidRPr="00D94AE8">
        <w:rPr>
          <w:rFonts w:ascii="Arial" w:hAnsi="Arial" w:cs="Arial"/>
          <w:sz w:val="24"/>
          <w:szCs w:val="24"/>
        </w:rPr>
        <w:t>It should be noted that this component treats all operating theatres as equivalent. In practice, some specialties impose additional constraints: laminar flow theatres in orthopaedics, for example, require stricter control of personnel numbers for infection prevention reasons. Theatre managers and lead practice educators should apply specialty-specific adjustments as local intelligence requires. The formula provides a starting point, not a final answer.</w:t>
      </w:r>
    </w:p>
    <w:p w14:paraId="6E0CFED3" w14:textId="77777777" w:rsidR="006A3699" w:rsidRPr="00D94AE8" w:rsidRDefault="006A3699" w:rsidP="006A3699">
      <w:pPr>
        <w:spacing w:line="360" w:lineRule="auto"/>
        <w:rPr>
          <w:rFonts w:ascii="Arial" w:hAnsi="Arial" w:cs="Arial"/>
          <w:sz w:val="24"/>
          <w:szCs w:val="24"/>
        </w:rPr>
      </w:pPr>
    </w:p>
    <w:p w14:paraId="0398C8E9" w14:textId="77777777" w:rsidR="006A3699" w:rsidRDefault="006A3699" w:rsidP="006A3699">
      <w:pPr>
        <w:spacing w:line="360" w:lineRule="auto"/>
        <w:rPr>
          <w:rFonts w:ascii="Arial" w:hAnsi="Arial" w:cs="Arial"/>
          <w:b/>
          <w:bCs/>
          <w:i/>
          <w:iCs/>
          <w:sz w:val="24"/>
          <w:szCs w:val="24"/>
        </w:rPr>
      </w:pPr>
      <w:r w:rsidRPr="00D94AE8">
        <w:rPr>
          <w:rFonts w:ascii="Arial" w:hAnsi="Arial" w:cs="Arial"/>
          <w:b/>
          <w:bCs/>
          <w:i/>
          <w:iCs/>
          <w:sz w:val="24"/>
          <w:szCs w:val="24"/>
        </w:rPr>
        <w:t>Recovery bays (Recovery bays / 2)</w:t>
      </w:r>
    </w:p>
    <w:p w14:paraId="1760479F" w14:textId="77777777" w:rsidR="006A3699" w:rsidRPr="00D94AE8" w:rsidRDefault="006A3699" w:rsidP="006A3699">
      <w:pPr>
        <w:spacing w:line="360" w:lineRule="auto"/>
        <w:rPr>
          <w:rFonts w:ascii="Arial" w:hAnsi="Arial" w:cs="Arial"/>
          <w:b/>
          <w:bCs/>
          <w:i/>
          <w:iCs/>
          <w:sz w:val="24"/>
          <w:szCs w:val="24"/>
        </w:rPr>
      </w:pPr>
    </w:p>
    <w:p w14:paraId="63A86258"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The post-anaesthetic care unit (PACU) operates with different staffing dynamics from the intraoperative environment. Bay ratios of 1:3 or 1:4 (practitioner to patient) are standard in Stage 1 recovery, which creates both opportunity and constraint for learner placement. The higher patient-to-practitioner ratio means that registered staff are managing multiple patients simultaneously and carry proportionally less bandwidth for learner supervision than intraoperative scrub or anaesthetic practitioners. The halving of recovery bay capacity in the formula accounts for this reduced supervisory bandwidth.</w:t>
      </w:r>
    </w:p>
    <w:p w14:paraId="4DD1C407"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Where a theatre suite includes a Stage 2 recovery or discharge lounge operating with ambulatory, independently mobile patients, the supervisory demands are different again. Trusts may wish to apply a higher multiplier for Stage 2 environments, but the formula does not attempt to model this variation in its base form. The recovery component should be applied to Stage 1 PACU bays as a default.</w:t>
      </w:r>
    </w:p>
    <w:p w14:paraId="035A1644"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Operational attrition (x 0.75)</w:t>
      </w:r>
    </w:p>
    <w:p w14:paraId="3214DA63" w14:textId="77777777" w:rsidR="006A3699" w:rsidRPr="00D94AE8" w:rsidRDefault="006A3699" w:rsidP="006A3699">
      <w:pPr>
        <w:spacing w:line="360" w:lineRule="auto"/>
        <w:rPr>
          <w:rFonts w:ascii="Arial" w:hAnsi="Arial" w:cs="Arial"/>
          <w:sz w:val="24"/>
          <w:szCs w:val="24"/>
        </w:rPr>
      </w:pPr>
    </w:p>
    <w:p w14:paraId="023180C8" w14:textId="77777777" w:rsidR="00917776" w:rsidRDefault="006A3699" w:rsidP="00917776">
      <w:pPr>
        <w:spacing w:line="360" w:lineRule="auto"/>
        <w:rPr>
          <w:rFonts w:ascii="Arial" w:hAnsi="Arial" w:cs="Arial"/>
          <w:sz w:val="24"/>
          <w:szCs w:val="24"/>
        </w:rPr>
      </w:pPr>
      <w:r w:rsidRPr="00D94AE8">
        <w:rPr>
          <w:rFonts w:ascii="Arial" w:hAnsi="Arial" w:cs="Arial"/>
          <w:sz w:val="24"/>
          <w:szCs w:val="24"/>
        </w:rPr>
        <w:t xml:space="preserve">The 25% reduction applied to the formula reflects the consistent gap between theoretical and realised daily capacity across NHS theatre departments. </w:t>
      </w:r>
      <w:r w:rsidR="00917776" w:rsidRPr="00D60F1C">
        <w:rPr>
          <w:rFonts w:ascii="Arial" w:hAnsi="Arial" w:cs="Arial"/>
          <w:sz w:val="24"/>
          <w:szCs w:val="24"/>
        </w:rPr>
        <w:t>Cancellation-driven attrition is not specific to this paper's data sources: GIRFT's national review of anaesthesia and perioperative medicine services identified day-of-surgery cancellations as a systemic problem requiring routine, real-time monitoring across NHS trusts (Snowden and Swart, 2021), and the administrative time this attrition reflects has been quantified in other clinical education settings, where supervisors reported an average of 4.3 hours per week of direct student supervision over a ten-week placement, decreasing as student competence grew (Bowles et al., 2015). Clinical educators across professions have also reported administrative and workload burden as a barrier to providing more clinical education (</w:t>
      </w:r>
      <w:proofErr w:type="spellStart"/>
      <w:r w:rsidR="00917776" w:rsidRPr="00D60F1C">
        <w:rPr>
          <w:rFonts w:ascii="Arial" w:hAnsi="Arial" w:cs="Arial"/>
          <w:sz w:val="24"/>
          <w:szCs w:val="24"/>
        </w:rPr>
        <w:t>Sevenhuysen</w:t>
      </w:r>
      <w:proofErr w:type="spellEnd"/>
      <w:r w:rsidR="00917776" w:rsidRPr="00D60F1C">
        <w:rPr>
          <w:rFonts w:ascii="Arial" w:hAnsi="Arial" w:cs="Arial"/>
          <w:sz w:val="24"/>
          <w:szCs w:val="24"/>
        </w:rPr>
        <w:t xml:space="preserve"> and Haines, 2011). No equivalent figure has been quantified for the perioperative environment specifically.</w:t>
      </w:r>
    </w:p>
    <w:p w14:paraId="526F66B9" w14:textId="77777777" w:rsidR="00D60F1C" w:rsidRPr="00D60F1C" w:rsidRDefault="00D60F1C" w:rsidP="00917776">
      <w:pPr>
        <w:spacing w:line="360" w:lineRule="auto"/>
        <w:rPr>
          <w:rFonts w:ascii="Arial" w:hAnsi="Arial" w:cs="Arial"/>
          <w:sz w:val="24"/>
          <w:szCs w:val="24"/>
        </w:rPr>
      </w:pPr>
    </w:p>
    <w:p w14:paraId="40261DF9" w14:textId="77777777" w:rsidR="00917776" w:rsidRPr="00917776" w:rsidRDefault="00917776" w:rsidP="00917776">
      <w:pPr>
        <w:spacing w:line="360" w:lineRule="auto"/>
        <w:rPr>
          <w:rFonts w:ascii="Arial" w:hAnsi="Arial" w:cs="Arial"/>
          <w:sz w:val="24"/>
          <w:szCs w:val="24"/>
        </w:rPr>
      </w:pPr>
      <w:r w:rsidRPr="00917776">
        <w:rPr>
          <w:rFonts w:ascii="Arial" w:hAnsi="Arial" w:cs="Arial"/>
          <w:sz w:val="24"/>
          <w:szCs w:val="24"/>
        </w:rPr>
        <w:t>Quantitative evidence on the impact of learners on clinical time and productivity is mixed across professions. A systematic review and meta-analysis of nutrition and dietetics, occupational therapy, physiotherapy and speech pathology placements found a neutral or positive effect of student placements on patient activity levels and clinical time (Bourne et al., 2019), in contrast to the capacity loss assumed by this paper's attrition factor. These findings derive from outpatient and community settings, however, where the constraint on clinician time is different in kind from the perioperative environment, in which a learner may occupy a defined clinical role, such as the anaesthetic or scrub position, rather than working alongside a clinician seeing an unchanged caseload. The attrition factor proposed here should therefore be understood as specific to the structural and role-based constraints of the theatre environment, not as a general claim that learner presence reduces productivity across clinical settings.</w:t>
      </w:r>
    </w:p>
    <w:p w14:paraId="6CED145C" w14:textId="11589E79" w:rsidR="006A3699" w:rsidRPr="00D94AE8" w:rsidRDefault="006A3699" w:rsidP="006A3699">
      <w:pPr>
        <w:spacing w:line="360" w:lineRule="auto"/>
        <w:rPr>
          <w:rFonts w:ascii="Arial" w:hAnsi="Arial" w:cs="Arial"/>
          <w:sz w:val="24"/>
          <w:szCs w:val="24"/>
        </w:rPr>
      </w:pPr>
    </w:p>
    <w:p w14:paraId="5E330169"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 xml:space="preserve">The 25% or 0.75 attrition factor is a reasoned estimate rather than an empirically derived figure specific to perioperative learners. It is worth noting, however, that documented capacity loss in NHS operating theatres from non-learner-related causes alone, cancellations, under-runs, and turnaround time, has been measured at between </w:t>
      </w:r>
      <w:r w:rsidRPr="00D94AE8">
        <w:rPr>
          <w:rFonts w:ascii="Arial" w:hAnsi="Arial" w:cs="Arial"/>
          <w:sz w:val="24"/>
          <w:szCs w:val="24"/>
        </w:rPr>
        <w:lastRenderedPageBreak/>
        <w:t>18% and 27% (Mustafa et al., 2020), which places the assumed factor within a plausible range rather than as an outlier. It is also consistent with the proportion of placement days that experienced practice educators report as fully utilisable in informal accounts, though no formal survey data has been identified to confirm this. This is an acknowledged limitation of the formula in its current form and represents a priority for empirical refinement.</w:t>
      </w:r>
    </w:p>
    <w:p w14:paraId="65C9F9E0" w14:textId="77777777" w:rsidR="006A3699" w:rsidRPr="00D94AE8" w:rsidRDefault="006A3699" w:rsidP="006A3699">
      <w:pPr>
        <w:spacing w:line="360" w:lineRule="auto"/>
        <w:rPr>
          <w:rFonts w:ascii="Arial" w:hAnsi="Arial" w:cs="Arial"/>
          <w:sz w:val="24"/>
          <w:szCs w:val="24"/>
        </w:rPr>
      </w:pPr>
    </w:p>
    <w:p w14:paraId="1083F353"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Applying this documented range directly to the formula illustrates the scale of uncertainty the single 0.75 figure currently conceals. An 18% capacity loss produces an attrition multiplier of 0.82; a 27% capacity loss produces a multiplier of 0.73. Rather than presenting the PCI as a single fixed number, it is more accurate to present it as a range bounded by these two multipliers, with the 0.75 figure retained as a central estimate pending the empirical work identified in the Future Research Priorities section. Where a range is calculated, the lower bound is rounded down, consistent with the conservative approach stated in the Introduction.</w:t>
      </w:r>
    </w:p>
    <w:p w14:paraId="311A6EAD" w14:textId="77777777" w:rsidR="006A3699" w:rsidRPr="00D94AE8" w:rsidRDefault="006A3699" w:rsidP="006A3699">
      <w:pPr>
        <w:spacing w:line="360" w:lineRule="auto"/>
        <w:rPr>
          <w:rFonts w:ascii="Arial" w:hAnsi="Arial" w:cs="Arial"/>
          <w:sz w:val="24"/>
          <w:szCs w:val="24"/>
        </w:rPr>
      </w:pPr>
    </w:p>
    <w:p w14:paraId="5E14AD2D"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The Physical Capacity Index is deliberately and explicitly a measure of physical and organisational capacity only. It does not calculate supervised learning capacity. This distinction is a critical factor that requires localised experience and planning.</w:t>
      </w:r>
    </w:p>
    <w:p w14:paraId="5A447861"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A theatre department may have a PCI in the range of 13 to 15, meaning up to that number of learners could be accommodated in the environment on a given day. Whether that many learners can receive adequate supervision depends on entirely separate factors: the number of qualified and experienced practice educators available; the proportion of staff who are themselves in training or recently qualified; the complexity of cases on any given list; and the supervision requirements specific to each learner type. A third-year ODP student in final placement carries different supervisory demands from a first-year student in initial orientation, from a newly registered nurse in the early weeks of a supernumerary preceptorship period, or from a healthcare assistant new to the theatre environment.</w:t>
      </w:r>
    </w:p>
    <w:p w14:paraId="0FCB03B3" w14:textId="77777777" w:rsidR="006A3699" w:rsidRPr="00D94AE8" w:rsidRDefault="006A3699" w:rsidP="006A3699">
      <w:pPr>
        <w:spacing w:line="360" w:lineRule="auto"/>
        <w:rPr>
          <w:rFonts w:ascii="Arial" w:hAnsi="Arial" w:cs="Arial"/>
          <w:sz w:val="24"/>
          <w:szCs w:val="24"/>
        </w:rPr>
      </w:pPr>
    </w:p>
    <w:p w14:paraId="7A599110" w14:textId="77777777" w:rsidR="006A3699" w:rsidRPr="00D94AE8" w:rsidRDefault="09555241" w:rsidP="006A3699">
      <w:pPr>
        <w:spacing w:line="360" w:lineRule="auto"/>
        <w:rPr>
          <w:rFonts w:ascii="Arial" w:hAnsi="Arial" w:cs="Arial"/>
          <w:sz w:val="24"/>
          <w:szCs w:val="24"/>
        </w:rPr>
      </w:pPr>
      <w:r w:rsidRPr="6C36B86B">
        <w:rPr>
          <w:rFonts w:ascii="Arial" w:hAnsi="Arial" w:cs="Arial"/>
          <w:sz w:val="24"/>
          <w:szCs w:val="24"/>
        </w:rPr>
        <w:lastRenderedPageBreak/>
        <w:t>The paper therefore proposes that the PCI be used as a first-stage calculation only, generating a ceiling range that is then moderated by a Supervised Learning Capacity (SLC) assessment.</w:t>
      </w:r>
    </w:p>
    <w:p w14:paraId="43EAF71C" w14:textId="2ECB8A43" w:rsidR="6C36B86B" w:rsidRDefault="6C36B86B" w:rsidP="6C36B86B">
      <w:pPr>
        <w:spacing w:line="360" w:lineRule="auto"/>
        <w:rPr>
          <w:rFonts w:ascii="Arial" w:hAnsi="Arial" w:cs="Arial"/>
          <w:sz w:val="24"/>
          <w:szCs w:val="24"/>
        </w:rPr>
      </w:pPr>
    </w:p>
    <w:p w14:paraId="591F0501" w14:textId="77CAD3FE" w:rsidR="006A3699" w:rsidRDefault="39EB181F" w:rsidP="006A3699">
      <w:pPr>
        <w:spacing w:line="360" w:lineRule="auto"/>
        <w:rPr>
          <w:rFonts w:ascii="Arial" w:hAnsi="Arial" w:cs="Arial"/>
          <w:sz w:val="24"/>
          <w:szCs w:val="24"/>
        </w:rPr>
      </w:pPr>
      <w:r w:rsidRPr="364FBEA2">
        <w:rPr>
          <w:rFonts w:ascii="Arial" w:hAnsi="Arial" w:cs="Arial"/>
          <w:sz w:val="24"/>
          <w:szCs w:val="24"/>
        </w:rPr>
        <w:t xml:space="preserve">The SLC is not developed in this paper and is identified as a priority for further work. Loewen et al. (2017) found that reported </w:t>
      </w:r>
      <w:r w:rsidR="499789E7" w:rsidRPr="364FBEA2">
        <w:rPr>
          <w:rFonts w:ascii="Arial" w:hAnsi="Arial" w:cs="Arial"/>
          <w:sz w:val="24"/>
          <w:szCs w:val="24"/>
        </w:rPr>
        <w:t>learner: preceptor</w:t>
      </w:r>
      <w:r w:rsidRPr="364FBEA2">
        <w:rPr>
          <w:rFonts w:ascii="Arial" w:hAnsi="Arial" w:cs="Arial"/>
          <w:sz w:val="24"/>
          <w:szCs w:val="24"/>
        </w:rPr>
        <w:t xml:space="preserve"> ratios vary systematically with learner experience level and clinical complexity, consistent with this paper’s position that a first-year student and a final-year student cannot be treated as equivalent within a single capacity figure. Their review provides a starting evidence base for the learner-specific weighting that any future SLC development would need to incorporate, rather than requiring that work to begin from first principles. CODP’s own standards offer a further, directly applicable anchor point. They require that a Practice Educator allocated to a learner is able to work with that learner for at least 40% of the assessment </w:t>
      </w:r>
      <w:r w:rsidR="3E010F1B" w:rsidRPr="364FBEA2">
        <w:rPr>
          <w:rFonts w:ascii="Arial" w:hAnsi="Arial" w:cs="Arial"/>
          <w:sz w:val="24"/>
          <w:szCs w:val="24"/>
        </w:rPr>
        <w:t>period and</w:t>
      </w:r>
      <w:r w:rsidRPr="364FBEA2">
        <w:rPr>
          <w:rFonts w:ascii="Arial" w:hAnsi="Arial" w:cs="Arial"/>
          <w:sz w:val="24"/>
          <w:szCs w:val="24"/>
        </w:rPr>
        <w:t xml:space="preserve"> specify that the Lead Practice Educator must factor in the Practice Educator’s other clinical commitments before making that allocation (CODP, 2021). This is a real constraint on supervisory bandwidth, distinct from the physical ceiling the PCI formula calculates, and it demonstrates that an SLC assessment is not a theoretical add-on but a requirement the profession has already partially defined. Future development of the SLC should build directly on this existing standard rather than construct a parallel one.</w:t>
      </w:r>
    </w:p>
    <w:p w14:paraId="160FCA50" w14:textId="77777777" w:rsidR="006A3699" w:rsidRPr="00D94AE8" w:rsidRDefault="006A3699" w:rsidP="006A3699">
      <w:pPr>
        <w:spacing w:line="360" w:lineRule="auto"/>
        <w:rPr>
          <w:rFonts w:ascii="Arial" w:hAnsi="Arial" w:cs="Arial"/>
          <w:sz w:val="24"/>
          <w:szCs w:val="24"/>
        </w:rPr>
      </w:pPr>
    </w:p>
    <w:p w14:paraId="76D11575" w14:textId="77777777" w:rsidR="006A3699" w:rsidRPr="00D94AE8" w:rsidRDefault="006A3699" w:rsidP="006A3699">
      <w:pPr>
        <w:spacing w:line="360" w:lineRule="auto"/>
        <w:rPr>
          <w:rFonts w:ascii="Arial" w:hAnsi="Arial" w:cs="Arial"/>
          <w:sz w:val="24"/>
          <w:szCs w:val="24"/>
        </w:rPr>
      </w:pPr>
      <w:r w:rsidRPr="00D94AE8">
        <w:rPr>
          <w:rFonts w:ascii="Arial" w:hAnsi="Arial" w:cs="Arial"/>
          <w:i/>
          <w:iCs/>
          <w:sz w:val="24"/>
          <w:szCs w:val="24"/>
        </w:rPr>
        <w:t>The relationship between PCI and SLC is illustrated conceptually below:</w:t>
      </w:r>
    </w:p>
    <w:p w14:paraId="4E3124C3" w14:textId="77777777" w:rsidR="006A3699" w:rsidRDefault="006A3699" w:rsidP="006A3699">
      <w:pPr>
        <w:spacing w:line="360" w:lineRule="auto"/>
        <w:rPr>
          <w:rFonts w:ascii="Arial" w:hAnsi="Arial" w:cs="Arial"/>
          <w:i/>
          <w:iCs/>
          <w:sz w:val="24"/>
          <w:szCs w:val="24"/>
        </w:rPr>
      </w:pPr>
      <w:r w:rsidRPr="00D94AE8">
        <w:rPr>
          <w:rFonts w:ascii="Arial" w:hAnsi="Arial" w:cs="Arial"/>
          <w:i/>
          <w:iCs/>
          <w:sz w:val="24"/>
          <w:szCs w:val="24"/>
        </w:rPr>
        <w:t>PCI (physical ceiling) &gt; SLC (supervised learning ceiling) = Actual daily placement number</w:t>
      </w:r>
    </w:p>
    <w:p w14:paraId="4E5C1F09" w14:textId="77777777" w:rsidR="006A3699" w:rsidRPr="00D94AE8" w:rsidRDefault="006A3699" w:rsidP="006A3699">
      <w:pPr>
        <w:spacing w:line="360" w:lineRule="auto"/>
        <w:rPr>
          <w:rFonts w:ascii="Arial" w:hAnsi="Arial" w:cs="Arial"/>
          <w:sz w:val="24"/>
          <w:szCs w:val="24"/>
        </w:rPr>
      </w:pPr>
    </w:p>
    <w:p w14:paraId="3F1F8013"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In any well-functioning placement department, SLC will always be lower than PCI. The value of the PCI is not to determine how many learners should be placed, but to establish how many learners could be placed, so that the gap between current practice and potential capacity is visible.</w:t>
      </w:r>
    </w:p>
    <w:p w14:paraId="368130A5" w14:textId="77777777" w:rsidR="006A3699" w:rsidRPr="00D94AE8" w:rsidRDefault="006A3699" w:rsidP="006A3699">
      <w:pPr>
        <w:spacing w:line="360" w:lineRule="auto"/>
        <w:rPr>
          <w:rFonts w:ascii="Arial" w:hAnsi="Arial" w:cs="Arial"/>
          <w:sz w:val="24"/>
          <w:szCs w:val="24"/>
        </w:rPr>
      </w:pPr>
    </w:p>
    <w:p w14:paraId="0EB90151" w14:textId="77777777" w:rsidR="00B84D4D" w:rsidRDefault="00B84D4D">
      <w:pPr>
        <w:spacing w:after="160" w:line="259" w:lineRule="auto"/>
        <w:rPr>
          <w:rFonts w:ascii="Arial" w:hAnsi="Arial" w:cs="Arial"/>
          <w:b/>
          <w:bCs/>
          <w:sz w:val="24"/>
          <w:szCs w:val="24"/>
        </w:rPr>
      </w:pPr>
      <w:r>
        <w:rPr>
          <w:rFonts w:ascii="Arial" w:hAnsi="Arial" w:cs="Arial"/>
          <w:b/>
          <w:bCs/>
          <w:sz w:val="24"/>
          <w:szCs w:val="24"/>
        </w:rPr>
        <w:br w:type="page"/>
      </w:r>
    </w:p>
    <w:p w14:paraId="1533F852" w14:textId="3568C0CB" w:rsidR="006A3699" w:rsidRPr="00D94AE8" w:rsidRDefault="006A3699" w:rsidP="006A3699">
      <w:pPr>
        <w:spacing w:line="360" w:lineRule="auto"/>
        <w:rPr>
          <w:rFonts w:ascii="Arial" w:hAnsi="Arial" w:cs="Arial"/>
          <w:b/>
          <w:bCs/>
          <w:sz w:val="24"/>
          <w:szCs w:val="24"/>
        </w:rPr>
      </w:pPr>
      <w:r w:rsidRPr="00D94AE8">
        <w:rPr>
          <w:rFonts w:ascii="Arial" w:hAnsi="Arial" w:cs="Arial"/>
          <w:b/>
          <w:bCs/>
          <w:sz w:val="24"/>
          <w:szCs w:val="24"/>
        </w:rPr>
        <w:lastRenderedPageBreak/>
        <w:t>Examples</w:t>
      </w:r>
    </w:p>
    <w:p w14:paraId="05CA151E"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The following examples illustrate how the formula operates across theatre departments of different sizes. All figures are illustrative.</w:t>
      </w:r>
    </w:p>
    <w:p w14:paraId="097619E2" w14:textId="77777777" w:rsidR="00B84D4D" w:rsidRPr="00D94AE8" w:rsidRDefault="00B84D4D" w:rsidP="006A3699">
      <w:pPr>
        <w:spacing w:line="360" w:lineRule="auto"/>
        <w:rPr>
          <w:rFonts w:ascii="Arial" w:hAnsi="Arial" w:cs="Arial"/>
          <w:sz w:val="24"/>
          <w:szCs w:val="24"/>
        </w:rPr>
      </w:pPr>
    </w:p>
    <w:p w14:paraId="3498E3A2" w14:textId="77777777" w:rsidR="006A3699" w:rsidRPr="00D94AE8" w:rsidRDefault="006A3699" w:rsidP="006A3699">
      <w:pPr>
        <w:spacing w:line="360" w:lineRule="auto"/>
        <w:rPr>
          <w:rFonts w:ascii="Arial" w:hAnsi="Arial" w:cs="Arial"/>
          <w:b/>
          <w:bCs/>
          <w:i/>
          <w:iCs/>
          <w:sz w:val="24"/>
          <w:szCs w:val="24"/>
        </w:rPr>
      </w:pPr>
      <w:r w:rsidRPr="00D94AE8">
        <w:rPr>
          <w:rFonts w:ascii="Arial" w:hAnsi="Arial" w:cs="Arial"/>
          <w:b/>
          <w:bCs/>
          <w:i/>
          <w:iCs/>
          <w:sz w:val="24"/>
          <w:szCs w:val="24"/>
        </w:rPr>
        <w:t>Example 1: Small district general hospital</w:t>
      </w:r>
    </w:p>
    <w:p w14:paraId="68619F7B"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Operating theatres: 6</w:t>
      </w:r>
    </w:p>
    <w:p w14:paraId="04302587"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Recovery bays: 12</w:t>
      </w:r>
    </w:p>
    <w:p w14:paraId="461C587A"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PCI calculation: [(6 x 2) + (12 / 2)] = 18. Central estimate: 18 x 0.75 = 13.5. Range: 18 x 0.73 to 18 x 0.82 = 13.14 to 14.76, rounded down to 13 to 14.</w:t>
      </w:r>
    </w:p>
    <w:p w14:paraId="487B0F25"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A 13 to 14 learner daily ceiling for a 6-theatre department compares significantly with a trust that currently accepts 4 learners per year. Even after SLC moderation, this suggests considerable unrealised capacity.</w:t>
      </w:r>
    </w:p>
    <w:p w14:paraId="3400DB94" w14:textId="77777777" w:rsidR="006A3699" w:rsidRPr="00D94AE8" w:rsidRDefault="006A3699" w:rsidP="006A3699">
      <w:pPr>
        <w:spacing w:line="360" w:lineRule="auto"/>
        <w:rPr>
          <w:rFonts w:ascii="Arial" w:hAnsi="Arial" w:cs="Arial"/>
          <w:sz w:val="24"/>
          <w:szCs w:val="24"/>
        </w:rPr>
      </w:pPr>
    </w:p>
    <w:p w14:paraId="1FF48E24" w14:textId="77777777" w:rsidR="006A3699" w:rsidRPr="00D94AE8" w:rsidRDefault="006A3699" w:rsidP="006A3699">
      <w:pPr>
        <w:spacing w:line="360" w:lineRule="auto"/>
        <w:rPr>
          <w:rFonts w:ascii="Arial" w:hAnsi="Arial" w:cs="Arial"/>
          <w:b/>
          <w:bCs/>
          <w:i/>
          <w:iCs/>
          <w:sz w:val="24"/>
          <w:szCs w:val="24"/>
        </w:rPr>
      </w:pPr>
      <w:r w:rsidRPr="00D94AE8">
        <w:rPr>
          <w:rFonts w:ascii="Arial" w:hAnsi="Arial" w:cs="Arial"/>
          <w:b/>
          <w:bCs/>
          <w:i/>
          <w:iCs/>
          <w:sz w:val="24"/>
          <w:szCs w:val="24"/>
        </w:rPr>
        <w:t>Example 2: Large teaching hospital</w:t>
      </w:r>
    </w:p>
    <w:p w14:paraId="03FDB899"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Operating theatres: 18</w:t>
      </w:r>
    </w:p>
    <w:p w14:paraId="379F7DEE"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Recovery bays: 24</w:t>
      </w:r>
    </w:p>
    <w:p w14:paraId="7CAEDDB6"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PCI calculation: [(18 x 2) + (24 / 2)] = 48. Central estimate: 48 x 0.75 = 36. Range: 48 x 0.73 to 48 x 0.82 = 35.04 to 39.36, rounded down to 35 to 39.</w:t>
      </w:r>
    </w:p>
    <w:p w14:paraId="5B7C8F8B"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A ceiling of this scale indicates significant scope for hosting learners across multiple professional groups simultaneously. This scale would require a structured placement coordination function beyond what a single lead practice educator may manage.</w:t>
      </w:r>
    </w:p>
    <w:p w14:paraId="549BAE39" w14:textId="77777777" w:rsidR="006A3699" w:rsidRDefault="006A3699" w:rsidP="006A3699">
      <w:pPr>
        <w:spacing w:line="360" w:lineRule="auto"/>
        <w:rPr>
          <w:rFonts w:ascii="Arial" w:hAnsi="Arial" w:cs="Arial"/>
          <w:sz w:val="24"/>
          <w:szCs w:val="24"/>
        </w:rPr>
      </w:pPr>
    </w:p>
    <w:p w14:paraId="73779BAB" w14:textId="77777777" w:rsidR="006A3699" w:rsidRPr="00D94AE8" w:rsidRDefault="006A3699" w:rsidP="006A3699">
      <w:pPr>
        <w:spacing w:line="360" w:lineRule="auto"/>
        <w:rPr>
          <w:rFonts w:ascii="Arial" w:hAnsi="Arial" w:cs="Arial"/>
          <w:b/>
          <w:bCs/>
          <w:i/>
          <w:iCs/>
          <w:sz w:val="24"/>
          <w:szCs w:val="24"/>
        </w:rPr>
      </w:pPr>
      <w:r w:rsidRPr="00D94AE8">
        <w:rPr>
          <w:rFonts w:ascii="Arial" w:hAnsi="Arial" w:cs="Arial"/>
          <w:b/>
          <w:bCs/>
          <w:i/>
          <w:iCs/>
          <w:sz w:val="24"/>
          <w:szCs w:val="24"/>
        </w:rPr>
        <w:t>Example 3: Specialist surgical centre (high laminar flow proportion)</w:t>
      </w:r>
    </w:p>
    <w:p w14:paraId="4E9BDC97"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Operating theatres: 8 (5 standard, 3 laminar flow orthopaedic)</w:t>
      </w:r>
    </w:p>
    <w:p w14:paraId="4C6A753B"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Recovery bays: 10</w:t>
      </w:r>
    </w:p>
    <w:p w14:paraId="2B203340"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Adjusted formula: [(5 x 2) + (3 x 1) + (10 / 2)] = 18. Range: 13.14 to 14.76, rounded down to 13 to 14.</w:t>
      </w:r>
    </w:p>
    <w:p w14:paraId="0D5AD76C"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This example illustrates how theatre managers can apply a specialty-specific adjustment to laminar flow theatres (reducing from 2 to 1 learner per theatre) without abandoning the formula’s structure. The result remains substantially higher than typical current practice in specialist centres.</w:t>
      </w:r>
    </w:p>
    <w:p w14:paraId="71071469" w14:textId="77777777" w:rsidR="006A3699" w:rsidRPr="00D94AE8" w:rsidRDefault="006A3699" w:rsidP="006A3699">
      <w:pPr>
        <w:spacing w:line="360" w:lineRule="auto"/>
        <w:rPr>
          <w:rFonts w:ascii="Arial" w:hAnsi="Arial" w:cs="Arial"/>
          <w:sz w:val="24"/>
          <w:szCs w:val="24"/>
        </w:rPr>
      </w:pPr>
    </w:p>
    <w:p w14:paraId="37A6F99B" w14:textId="77777777" w:rsidR="006A3699" w:rsidRPr="00D94AE8" w:rsidRDefault="006A3699" w:rsidP="006A3699">
      <w:pPr>
        <w:spacing w:line="360" w:lineRule="auto"/>
        <w:rPr>
          <w:rFonts w:ascii="Arial" w:hAnsi="Arial" w:cs="Arial"/>
          <w:b/>
          <w:bCs/>
          <w:sz w:val="24"/>
          <w:szCs w:val="24"/>
        </w:rPr>
      </w:pPr>
      <w:r w:rsidRPr="00D94AE8">
        <w:rPr>
          <w:rFonts w:ascii="Arial" w:hAnsi="Arial" w:cs="Arial"/>
          <w:b/>
          <w:bCs/>
          <w:sz w:val="24"/>
          <w:szCs w:val="24"/>
        </w:rPr>
        <w:t>Limitations</w:t>
      </w:r>
    </w:p>
    <w:p w14:paraId="1BC273B8" w14:textId="77777777" w:rsidR="006A3699" w:rsidRPr="00D94AE8" w:rsidRDefault="09555241" w:rsidP="006A3699">
      <w:pPr>
        <w:spacing w:line="360" w:lineRule="auto"/>
        <w:rPr>
          <w:rFonts w:ascii="Arial" w:hAnsi="Arial" w:cs="Arial"/>
          <w:sz w:val="24"/>
          <w:szCs w:val="24"/>
        </w:rPr>
      </w:pPr>
      <w:r w:rsidRPr="6C36B86B">
        <w:rPr>
          <w:rFonts w:ascii="Arial" w:hAnsi="Arial" w:cs="Arial"/>
          <w:sz w:val="24"/>
          <w:szCs w:val="24"/>
        </w:rPr>
        <w:t>The formula presented in this paper is a first-generation proposal. Several limitations require acknowledgement.</w:t>
      </w:r>
    </w:p>
    <w:p w14:paraId="42B5938F" w14:textId="1AD60A9E" w:rsidR="6C36B86B" w:rsidRDefault="6C36B86B" w:rsidP="6C36B86B">
      <w:pPr>
        <w:spacing w:line="360" w:lineRule="auto"/>
        <w:rPr>
          <w:rFonts w:ascii="Arial" w:hAnsi="Arial" w:cs="Arial"/>
          <w:sz w:val="24"/>
          <w:szCs w:val="24"/>
        </w:rPr>
      </w:pPr>
    </w:p>
    <w:p w14:paraId="0DDE2D78"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The attrition factor is not empirically derived</w:t>
      </w:r>
    </w:p>
    <w:p w14:paraId="1F82FCFB"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The reduction applied to account for operational attrition is based on general NHS theatre utilisation evidence and informed professional judgement. Applying the documented range for non-learner-related theatre capacity loss (Mustafa et al., 2020) produces a PCI range rather than a single figure, illustrated in the worked examples above, with the lower bound of each range rounded down in line with the conservative approach stated in the Introduction. This range should be treated as the more honest representation of the formula’s current output until empirical work specific to learner-related attrition, as opposed to general theatre capacity loss, is available. This is the formula’s most significant limitation and the most important target for empirical research.</w:t>
      </w:r>
    </w:p>
    <w:p w14:paraId="7F2FFF59" w14:textId="77777777" w:rsidR="006A3699" w:rsidRPr="00D94AE8" w:rsidRDefault="006A3699" w:rsidP="006A3699">
      <w:pPr>
        <w:spacing w:line="360" w:lineRule="auto"/>
        <w:rPr>
          <w:rFonts w:ascii="Arial" w:hAnsi="Arial" w:cs="Arial"/>
          <w:sz w:val="24"/>
          <w:szCs w:val="24"/>
        </w:rPr>
      </w:pPr>
    </w:p>
    <w:p w14:paraId="6F63F530" w14:textId="6D2C2FB0" w:rsidR="006A3699" w:rsidRDefault="39EB181F" w:rsidP="006A3699">
      <w:pPr>
        <w:spacing w:line="360" w:lineRule="auto"/>
        <w:rPr>
          <w:rFonts w:ascii="Arial" w:hAnsi="Arial" w:cs="Arial"/>
          <w:sz w:val="24"/>
          <w:szCs w:val="24"/>
        </w:rPr>
      </w:pPr>
      <w:r w:rsidRPr="364FBEA2">
        <w:rPr>
          <w:rFonts w:ascii="Arial" w:hAnsi="Arial" w:cs="Arial"/>
          <w:sz w:val="24"/>
          <w:szCs w:val="24"/>
        </w:rPr>
        <w:t xml:space="preserve">A PCI ceiling is applicable to any learner or supernumerary staff member, whether a T Level student on industry placement, a first-year ODP student, a final-year ODP student, a newly registered nurse in a preceptorship supernumerary period, or a healthcare assistant new to the theatre environment. Each of these </w:t>
      </w:r>
      <w:r w:rsidR="5785C1A1" w:rsidRPr="364FBEA2">
        <w:rPr>
          <w:rFonts w:ascii="Arial" w:hAnsi="Arial" w:cs="Arial"/>
          <w:sz w:val="24"/>
          <w:szCs w:val="24"/>
        </w:rPr>
        <w:t>groups'</w:t>
      </w:r>
      <w:r w:rsidRPr="364FBEA2">
        <w:rPr>
          <w:rFonts w:ascii="Arial" w:hAnsi="Arial" w:cs="Arial"/>
          <w:sz w:val="24"/>
          <w:szCs w:val="24"/>
        </w:rPr>
        <w:t xml:space="preserve"> places different demands on the clinical environment and on supervisory staff, and their professional status, accountability, and scope of practice differ substantially. The formula treats all of them equivalently at the PCI stage. The SLC assessment, which is proposed but not developed here, would need to introduce weighting not only by pre-registration learner experience level but by professional status and supervisory requirement, distinguishing registered supernumerary staff and unregistered support staff from pre-registration students.</w:t>
      </w:r>
    </w:p>
    <w:p w14:paraId="68C21604" w14:textId="77777777" w:rsidR="006A3699" w:rsidRPr="00D94AE8" w:rsidRDefault="006A3699" w:rsidP="006A3699">
      <w:pPr>
        <w:spacing w:line="360" w:lineRule="auto"/>
        <w:rPr>
          <w:rFonts w:ascii="Arial" w:hAnsi="Arial" w:cs="Arial"/>
          <w:sz w:val="24"/>
          <w:szCs w:val="24"/>
        </w:rPr>
      </w:pPr>
    </w:p>
    <w:p w14:paraId="78D380B9"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 xml:space="preserve">The formula applies the recovery bay halving consistently, but Stage 1 PACU, Stage 2 recovery, and day surgery lounge environments have materially different staffing ratios, patient dependency levels, and learner visibility opportunities. A single multiplier does </w:t>
      </w:r>
      <w:r w:rsidRPr="00D94AE8">
        <w:rPr>
          <w:rFonts w:ascii="Arial" w:hAnsi="Arial" w:cs="Arial"/>
          <w:sz w:val="24"/>
          <w:szCs w:val="24"/>
        </w:rPr>
        <w:lastRenderedPageBreak/>
        <w:t>not capture this variation. Trusts with predominantly day surgery throughput may find the recovery component underestimates learner capacity; trusts with high-dependency PACU patient profiles may find it overestimates it.</w:t>
      </w:r>
    </w:p>
    <w:p w14:paraId="64FE4146" w14:textId="77777777" w:rsidR="006A3699" w:rsidRPr="00D94AE8" w:rsidRDefault="006A3699" w:rsidP="006A3699">
      <w:pPr>
        <w:spacing w:line="360" w:lineRule="auto"/>
        <w:rPr>
          <w:rFonts w:ascii="Arial" w:hAnsi="Arial" w:cs="Arial"/>
          <w:sz w:val="24"/>
          <w:szCs w:val="24"/>
        </w:rPr>
      </w:pPr>
    </w:p>
    <w:p w14:paraId="091B153E" w14:textId="77777777" w:rsidR="006A3699" w:rsidRPr="00D94AE8" w:rsidRDefault="006A3699" w:rsidP="006A3699">
      <w:pPr>
        <w:spacing w:line="360" w:lineRule="auto"/>
        <w:rPr>
          <w:rFonts w:ascii="Arial" w:hAnsi="Arial" w:cs="Arial"/>
          <w:b/>
          <w:bCs/>
          <w:i/>
          <w:iCs/>
          <w:sz w:val="24"/>
          <w:szCs w:val="24"/>
        </w:rPr>
      </w:pPr>
      <w:r w:rsidRPr="00D94AE8">
        <w:rPr>
          <w:rFonts w:ascii="Arial" w:hAnsi="Arial" w:cs="Arial"/>
          <w:b/>
          <w:bCs/>
          <w:i/>
          <w:iCs/>
          <w:sz w:val="24"/>
          <w:szCs w:val="24"/>
        </w:rPr>
        <w:t>Specialty-specific constraints are not captured in the base formula</w:t>
      </w:r>
    </w:p>
    <w:p w14:paraId="6F0A93D5"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Cardiothoracic surgery, robotics, paediatric surgery, and other specialist environments impose constraints beyond those of a general surgical theatre. The base formula does not capture these and relies on local application of adjusted multipliers by theatre managers and lead practice educators with specialist knowledge.</w:t>
      </w:r>
    </w:p>
    <w:p w14:paraId="03D647F2"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The formula assumes a standard elective weekday operating pattern</w:t>
      </w:r>
    </w:p>
    <w:p w14:paraId="4E92C23D"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No equivalent calculation is offered for weekend, night, or emergency-only operating patterns, nor does the base formula distinguish between full-day and half-day theatre lists. Both represent areas for future methodological extension rather than gaps in the current formula’s internal logic.</w:t>
      </w:r>
    </w:p>
    <w:p w14:paraId="6F328842" w14:textId="77777777" w:rsidR="006A3699" w:rsidRPr="00D94AE8" w:rsidRDefault="006A3699" w:rsidP="006A3699">
      <w:pPr>
        <w:spacing w:line="360" w:lineRule="auto"/>
        <w:rPr>
          <w:rFonts w:ascii="Arial" w:hAnsi="Arial" w:cs="Arial"/>
          <w:sz w:val="24"/>
          <w:szCs w:val="24"/>
        </w:rPr>
      </w:pPr>
    </w:p>
    <w:p w14:paraId="00A22D9D" w14:textId="77777777" w:rsidR="006A3699" w:rsidRPr="00D94AE8" w:rsidRDefault="006A3699" w:rsidP="006A3699">
      <w:pPr>
        <w:spacing w:line="360" w:lineRule="auto"/>
        <w:rPr>
          <w:rFonts w:ascii="Arial" w:hAnsi="Arial" w:cs="Arial"/>
          <w:b/>
          <w:bCs/>
          <w:sz w:val="24"/>
          <w:szCs w:val="24"/>
        </w:rPr>
      </w:pPr>
      <w:r w:rsidRPr="00D94AE8">
        <w:rPr>
          <w:rFonts w:ascii="Arial" w:hAnsi="Arial" w:cs="Arial"/>
          <w:b/>
          <w:bCs/>
          <w:sz w:val="24"/>
          <w:szCs w:val="24"/>
        </w:rPr>
        <w:t>Implications for Practice and Policy</w:t>
      </w:r>
    </w:p>
    <w:p w14:paraId="68BC8738" w14:textId="77777777" w:rsidR="006A3699" w:rsidRPr="00D94AE8" w:rsidRDefault="006A3699" w:rsidP="006A3699">
      <w:pPr>
        <w:spacing w:line="360" w:lineRule="auto"/>
        <w:rPr>
          <w:rFonts w:ascii="Arial" w:hAnsi="Arial" w:cs="Arial"/>
          <w:b/>
          <w:bCs/>
          <w:i/>
          <w:iCs/>
          <w:sz w:val="24"/>
          <w:szCs w:val="24"/>
        </w:rPr>
      </w:pPr>
      <w:r w:rsidRPr="00D94AE8">
        <w:rPr>
          <w:rFonts w:ascii="Arial" w:hAnsi="Arial" w:cs="Arial"/>
          <w:b/>
          <w:bCs/>
          <w:i/>
          <w:iCs/>
          <w:sz w:val="24"/>
          <w:szCs w:val="24"/>
        </w:rPr>
        <w:t>For theatre departments and NHS trusts</w:t>
      </w:r>
    </w:p>
    <w:p w14:paraId="239C6F79"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Theatre managers and lead practice educators should apply the formula to their own departments as a first step toward understanding the gap between current placement provision and theoretical physical capacity. This does not commit the department to accepting more learners immediately. It creates an evidence base for a structured conversation with the trust’s Education and Training team, HEI partners, and NHS England regional offices about where additional placement capacity might be realised and what it would take to release it.</w:t>
      </w:r>
    </w:p>
    <w:p w14:paraId="436D4B20" w14:textId="77777777" w:rsidR="006A3699" w:rsidRPr="00D94AE8" w:rsidRDefault="006A3699" w:rsidP="006A3699">
      <w:pPr>
        <w:spacing w:line="360" w:lineRule="auto"/>
        <w:rPr>
          <w:rFonts w:ascii="Arial" w:hAnsi="Arial" w:cs="Arial"/>
          <w:sz w:val="24"/>
          <w:szCs w:val="24"/>
        </w:rPr>
      </w:pPr>
    </w:p>
    <w:p w14:paraId="52E7E01E"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 xml:space="preserve">Lead practice educators hold responsibility for the overall learning structure within a theatre department, which extends beyond pre-registration student placements to preceptorship and induction for newly registered staff and support workers new to the environment. The PCI calculation is relevant to this full remit. A department’s capacity ceiling is shared across every group occupying supervised learning time on a given day, </w:t>
      </w:r>
      <w:r w:rsidRPr="00D94AE8">
        <w:rPr>
          <w:rFonts w:ascii="Arial" w:hAnsi="Arial" w:cs="Arial"/>
          <w:sz w:val="24"/>
          <w:szCs w:val="24"/>
        </w:rPr>
        <w:lastRenderedPageBreak/>
        <w:t>and lead practice educators are best placed to weigh competing demands across pre-registration placements, preceptorship, and induction when applying the formula locally.</w:t>
      </w:r>
    </w:p>
    <w:p w14:paraId="248DC268" w14:textId="4CF85163" w:rsidR="006A3699" w:rsidRDefault="4A75EAC1" w:rsidP="006A3699">
      <w:pPr>
        <w:spacing w:line="360" w:lineRule="auto"/>
      </w:pPr>
      <w:r w:rsidRPr="5B820343">
        <w:rPr>
          <w:rFonts w:ascii="Arial" w:hAnsi="Arial" w:cs="Arial"/>
          <w:sz w:val="24"/>
          <w:szCs w:val="24"/>
        </w:rPr>
        <w:t>Trusts should consider incorporating the PCI calculation into their Education and Training strategic planning cycle, revisiting it annually or when the physical configuration of the theatre suite changes significantly.</w:t>
      </w:r>
      <w:r w:rsidR="6173A2BB" w:rsidRPr="5B820343">
        <w:rPr>
          <w:rFonts w:ascii="Arial" w:hAnsi="Arial" w:cs="Arial"/>
          <w:sz w:val="24"/>
          <w:szCs w:val="24"/>
        </w:rPr>
        <w:t xml:space="preserve"> This should also be considered when </w:t>
      </w:r>
      <w:r w:rsidR="2ACB8DE3" w:rsidRPr="5B820343">
        <w:rPr>
          <w:rFonts w:ascii="Arial" w:hAnsi="Arial" w:cs="Arial"/>
          <w:sz w:val="24"/>
          <w:szCs w:val="24"/>
        </w:rPr>
        <w:t>reviewing</w:t>
      </w:r>
      <w:r w:rsidR="6173A2BB" w:rsidRPr="5B820343">
        <w:rPr>
          <w:rFonts w:ascii="Arial" w:hAnsi="Arial" w:cs="Arial"/>
          <w:sz w:val="24"/>
          <w:szCs w:val="24"/>
        </w:rPr>
        <w:t xml:space="preserve"> </w:t>
      </w:r>
      <w:r w:rsidR="00A8582E" w:rsidRPr="5B820343">
        <w:rPr>
          <w:rFonts w:ascii="Arial" w:hAnsi="Arial" w:cs="Arial"/>
          <w:sz w:val="24"/>
          <w:szCs w:val="24"/>
        </w:rPr>
        <w:t>accessibility</w:t>
      </w:r>
      <w:r w:rsidR="6173A2BB" w:rsidRPr="5B820343">
        <w:rPr>
          <w:rFonts w:ascii="Arial" w:hAnsi="Arial" w:cs="Arial"/>
          <w:sz w:val="24"/>
          <w:szCs w:val="24"/>
        </w:rPr>
        <w:t xml:space="preserve"> to others </w:t>
      </w:r>
      <w:r w:rsidR="21ECB96B" w:rsidRPr="5B820343">
        <w:rPr>
          <w:rFonts w:ascii="Arial" w:hAnsi="Arial" w:cs="Arial"/>
          <w:sz w:val="24"/>
          <w:szCs w:val="24"/>
        </w:rPr>
        <w:t>outside</w:t>
      </w:r>
      <w:r w:rsidR="6173A2BB" w:rsidRPr="5B820343">
        <w:rPr>
          <w:rFonts w:ascii="Arial" w:hAnsi="Arial" w:cs="Arial"/>
          <w:sz w:val="24"/>
          <w:szCs w:val="24"/>
        </w:rPr>
        <w:t xml:space="preserve"> of the theatre departments </w:t>
      </w:r>
      <w:r w:rsidR="0417CC8C" w:rsidRPr="5B820343">
        <w:rPr>
          <w:rFonts w:ascii="Arial" w:hAnsi="Arial" w:cs="Arial"/>
          <w:sz w:val="24"/>
          <w:szCs w:val="24"/>
        </w:rPr>
        <w:t>initial</w:t>
      </w:r>
      <w:r w:rsidR="6173A2BB" w:rsidRPr="5B820343">
        <w:rPr>
          <w:rFonts w:ascii="Arial" w:hAnsi="Arial" w:cs="Arial"/>
          <w:sz w:val="24"/>
          <w:szCs w:val="24"/>
        </w:rPr>
        <w:t xml:space="preserve"> sphere of </w:t>
      </w:r>
      <w:r w:rsidR="37010B69" w:rsidRPr="5B820343">
        <w:rPr>
          <w:rFonts w:ascii="Arial" w:hAnsi="Arial" w:cs="Arial"/>
          <w:sz w:val="24"/>
          <w:szCs w:val="24"/>
        </w:rPr>
        <w:t>influence</w:t>
      </w:r>
      <w:r w:rsidR="6173A2BB" w:rsidRPr="5B820343">
        <w:rPr>
          <w:rFonts w:ascii="Arial" w:hAnsi="Arial" w:cs="Arial"/>
          <w:sz w:val="24"/>
          <w:szCs w:val="24"/>
        </w:rPr>
        <w:t>, such as learners accompanying other professions</w:t>
      </w:r>
      <w:r w:rsidR="3DDF7246" w:rsidRPr="5B820343">
        <w:rPr>
          <w:rFonts w:ascii="Arial" w:hAnsi="Arial" w:cs="Arial"/>
          <w:sz w:val="24"/>
          <w:szCs w:val="24"/>
        </w:rPr>
        <w:t>.</w:t>
      </w:r>
    </w:p>
    <w:p w14:paraId="6D67CBA6" w14:textId="77777777" w:rsidR="006A3699" w:rsidRPr="00D94AE8" w:rsidRDefault="006A3699" w:rsidP="006A3699">
      <w:pPr>
        <w:spacing w:line="360" w:lineRule="auto"/>
        <w:rPr>
          <w:rFonts w:ascii="Arial" w:hAnsi="Arial" w:cs="Arial"/>
          <w:sz w:val="24"/>
          <w:szCs w:val="24"/>
        </w:rPr>
      </w:pPr>
    </w:p>
    <w:p w14:paraId="41FC7E2A" w14:textId="77777777" w:rsidR="006A3699" w:rsidRPr="00D94AE8" w:rsidRDefault="006A3699" w:rsidP="006A3699">
      <w:pPr>
        <w:spacing w:line="360" w:lineRule="auto"/>
        <w:rPr>
          <w:rFonts w:ascii="Arial" w:hAnsi="Arial" w:cs="Arial"/>
          <w:b/>
          <w:bCs/>
          <w:i/>
          <w:iCs/>
          <w:sz w:val="24"/>
          <w:szCs w:val="24"/>
        </w:rPr>
      </w:pPr>
      <w:r w:rsidRPr="00D94AE8">
        <w:rPr>
          <w:rFonts w:ascii="Arial" w:hAnsi="Arial" w:cs="Arial"/>
          <w:b/>
          <w:bCs/>
          <w:i/>
          <w:iCs/>
          <w:sz w:val="24"/>
          <w:szCs w:val="24"/>
        </w:rPr>
        <w:t>For higher education institutions</w:t>
      </w:r>
    </w:p>
    <w:p w14:paraId="0E80E99A"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HEIs commissioning placements from NHS trusts should ask trust partners whether placement allocations are based on any calculation of physical or supervisory capacity, and should support the adoption of a structured methodology where none currently exists. HEIs are in a position to facilitate cross-trust comparison and to identify outliers where placement caps are substantially lower than the formula would predict, creating an opportunity for targeted capacity development conversations.</w:t>
      </w:r>
    </w:p>
    <w:p w14:paraId="028E7258"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HEIs should also recognise that the formula is a tool for identifying potential capacity, not guaranteed placements. The SLC moderation step is essential, and HEIs have a responsibility to ensure that learner readiness, preparation, and practice assessment documentation are of a standard that does not increase the supervisory burden on already stretched clinical educators.</w:t>
      </w:r>
    </w:p>
    <w:p w14:paraId="2DC552B1" w14:textId="77777777" w:rsidR="006A3699" w:rsidRPr="00D94AE8" w:rsidRDefault="006A3699" w:rsidP="006A3699">
      <w:pPr>
        <w:spacing w:line="360" w:lineRule="auto"/>
        <w:rPr>
          <w:rFonts w:ascii="Arial" w:hAnsi="Arial" w:cs="Arial"/>
          <w:sz w:val="24"/>
          <w:szCs w:val="24"/>
        </w:rPr>
      </w:pPr>
    </w:p>
    <w:p w14:paraId="0602170A" w14:textId="77777777" w:rsidR="006A3699" w:rsidRPr="00D94AE8" w:rsidRDefault="006A3699" w:rsidP="006A3699">
      <w:pPr>
        <w:spacing w:line="360" w:lineRule="auto"/>
        <w:rPr>
          <w:rFonts w:ascii="Arial" w:hAnsi="Arial" w:cs="Arial"/>
          <w:b/>
          <w:bCs/>
          <w:i/>
          <w:iCs/>
          <w:sz w:val="24"/>
          <w:szCs w:val="24"/>
        </w:rPr>
      </w:pPr>
      <w:r w:rsidRPr="00D94AE8">
        <w:rPr>
          <w:rFonts w:ascii="Arial" w:hAnsi="Arial" w:cs="Arial"/>
          <w:b/>
          <w:bCs/>
          <w:i/>
          <w:iCs/>
          <w:sz w:val="24"/>
          <w:szCs w:val="24"/>
        </w:rPr>
        <w:t>For NHS England and professional bodies</w:t>
      </w:r>
    </w:p>
    <w:p w14:paraId="193A90BC" w14:textId="57173E13" w:rsidR="006A3699" w:rsidRDefault="38446C3D" w:rsidP="006A3699">
      <w:pPr>
        <w:spacing w:line="360" w:lineRule="auto"/>
        <w:rPr>
          <w:rFonts w:ascii="Arial" w:hAnsi="Arial" w:cs="Arial"/>
          <w:sz w:val="24"/>
          <w:szCs w:val="24"/>
        </w:rPr>
      </w:pPr>
      <w:r w:rsidRPr="004E2744">
        <w:rPr>
          <w:rFonts w:ascii="Arial" w:hAnsi="Arial" w:cs="Arial"/>
          <w:sz w:val="24"/>
          <w:szCs w:val="24"/>
        </w:rPr>
        <w:t>NHS England Workforce, Training and Education directorates should consider commissioning a national pilot of the formula across a range of trust types, sizes, and specialty configurations, with the ODP SURGE programme or a successor vehicle as a potential delivery mechanism. The CODP are well placed to support dissemination and to provide a professional endorsement framework for the resulting methodology.</w:t>
      </w:r>
    </w:p>
    <w:p w14:paraId="76CF3550" w14:textId="77777777" w:rsidR="006A3699" w:rsidRPr="00D94AE8" w:rsidRDefault="006A3699" w:rsidP="006A3699">
      <w:pPr>
        <w:spacing w:line="360" w:lineRule="auto"/>
        <w:rPr>
          <w:rFonts w:ascii="Arial" w:hAnsi="Arial" w:cs="Arial"/>
          <w:sz w:val="24"/>
          <w:szCs w:val="24"/>
        </w:rPr>
      </w:pPr>
    </w:p>
    <w:p w14:paraId="77DAD93E" w14:textId="7AD9D70C" w:rsidR="006A3699" w:rsidRDefault="00426352" w:rsidP="006A3699">
      <w:pPr>
        <w:spacing w:line="360" w:lineRule="auto"/>
        <w:rPr>
          <w:rFonts w:ascii="Arial" w:hAnsi="Arial" w:cs="Arial"/>
          <w:sz w:val="24"/>
          <w:szCs w:val="24"/>
        </w:rPr>
      </w:pPr>
      <w:r w:rsidRPr="00426352">
        <w:rPr>
          <w:rFonts w:ascii="Arial" w:hAnsi="Arial" w:cs="Arial"/>
          <w:sz w:val="24"/>
          <w:szCs w:val="24"/>
        </w:rPr>
        <w:t xml:space="preserve">A national trial of the fair share capacity model, as recommended in the 2022 ODP workforce report, measures only the workforce side of placement capacity (Health Education England, 2022). Piloting the PCI formula alongside it would allow a trust's </w:t>
      </w:r>
      <w:r w:rsidRPr="00426352">
        <w:rPr>
          <w:rFonts w:ascii="Arial" w:hAnsi="Arial" w:cs="Arial"/>
          <w:sz w:val="24"/>
          <w:szCs w:val="24"/>
        </w:rPr>
        <w:lastRenderedPageBreak/>
        <w:t>placement ceiling to be tested against both constraints it faces, staffing and physical environment, rather than the workforce measure alone.</w:t>
      </w:r>
    </w:p>
    <w:p w14:paraId="3F931807" w14:textId="77777777" w:rsidR="00426352" w:rsidRDefault="00426352" w:rsidP="006A3699">
      <w:pPr>
        <w:spacing w:line="360" w:lineRule="auto"/>
        <w:rPr>
          <w:rFonts w:ascii="Arial" w:hAnsi="Arial" w:cs="Arial"/>
          <w:sz w:val="24"/>
          <w:szCs w:val="24"/>
        </w:rPr>
      </w:pPr>
    </w:p>
    <w:p w14:paraId="21CD0979" w14:textId="77777777" w:rsidR="006A3699" w:rsidRPr="00D94AE8" w:rsidRDefault="006A3699" w:rsidP="006A3699">
      <w:pPr>
        <w:spacing w:line="360" w:lineRule="auto"/>
        <w:rPr>
          <w:rFonts w:ascii="Arial" w:hAnsi="Arial" w:cs="Arial"/>
          <w:b/>
          <w:bCs/>
          <w:sz w:val="24"/>
          <w:szCs w:val="24"/>
        </w:rPr>
      </w:pPr>
      <w:r w:rsidRPr="00D94AE8">
        <w:rPr>
          <w:rFonts w:ascii="Arial" w:hAnsi="Arial" w:cs="Arial"/>
          <w:b/>
          <w:bCs/>
          <w:sz w:val="24"/>
          <w:szCs w:val="24"/>
        </w:rPr>
        <w:t>Future Research Priorities</w:t>
      </w:r>
    </w:p>
    <w:p w14:paraId="51F13ACD" w14:textId="77777777" w:rsidR="006A3699" w:rsidRPr="00D94AE8" w:rsidRDefault="7D0B36F1" w:rsidP="006A3699">
      <w:pPr>
        <w:spacing w:line="360" w:lineRule="auto"/>
      </w:pPr>
      <w:r w:rsidRPr="18B85684">
        <w:rPr>
          <w:rFonts w:ascii="Arial" w:hAnsi="Arial" w:cs="Arial"/>
          <w:sz w:val="24"/>
          <w:szCs w:val="24"/>
        </w:rPr>
        <w:t>This paper identifies several areas where empirical research is needed to develop and validate the formula and its companion SLC assessment.</w:t>
      </w:r>
    </w:p>
    <w:p w14:paraId="2665C92A" w14:textId="60A37E06" w:rsidR="18B85684" w:rsidRDefault="18B85684" w:rsidP="18B85684">
      <w:pPr>
        <w:spacing w:line="360" w:lineRule="auto"/>
        <w:rPr>
          <w:rFonts w:ascii="Arial" w:hAnsi="Arial" w:cs="Arial"/>
          <w:sz w:val="24"/>
          <w:szCs w:val="24"/>
        </w:rPr>
      </w:pPr>
    </w:p>
    <w:p w14:paraId="2E69AE21" w14:textId="15BC1943" w:rsidR="006A3699" w:rsidRDefault="7D0B36F1" w:rsidP="18B85684">
      <w:pPr>
        <w:spacing w:line="360" w:lineRule="auto"/>
      </w:pPr>
      <w:r w:rsidRPr="18B85684">
        <w:rPr>
          <w:rFonts w:ascii="Arial" w:hAnsi="Arial" w:cs="Arial"/>
          <w:sz w:val="24"/>
          <w:szCs w:val="24"/>
        </w:rPr>
        <w:t>A structured consensus process, such as a Delphi study involving theatre managers, lead practice educators, and professional body representatives, to test and refine each coefficient in the formula (Hasson, Keeney and McKenna, 2000).</w:t>
      </w:r>
      <w:r w:rsidR="7C38BC57" w:rsidRPr="18B85684">
        <w:rPr>
          <w:rFonts w:ascii="Arial" w:hAnsi="Arial" w:cs="Arial"/>
          <w:sz w:val="24"/>
          <w:szCs w:val="24"/>
        </w:rPr>
        <w:t xml:space="preserve"> </w:t>
      </w:r>
      <w:r w:rsidR="7C38BC57" w:rsidRPr="18B85684">
        <w:rPr>
          <w:rFonts w:ascii="Arial" w:eastAsia="Arial" w:hAnsi="Arial" w:cs="Arial"/>
          <w:sz w:val="24"/>
          <w:szCs w:val="24"/>
        </w:rPr>
        <w:t>This recommendation aligns with a priority already partly engaged with in the ODP profession's own research agenda-setting work. Nightingale et al.'s (2025) Delphi study of ODP research priorities scored placement capacity, covering factors affecting it and strategies to improve it, as a topic within the Education theme, with a mean rating of 4.19. This fell short of the 75% agreement threshold required for full consensus in that study, unlike the closely related priorities of student recruitment and career pathway development, both of which did reach consensus. Placement capacity therefore appears to be recognised as important by ODPs without yet being a settled priority, which supports rather than weakens the case for the structured consensus process proposed here: a dedicated Delphi study on the PCI formula's coefficients could address a specific gap the profession has engaged with but not yet resolved.</w:t>
      </w:r>
    </w:p>
    <w:p w14:paraId="2749F1CB" w14:textId="77777777" w:rsidR="006A3699" w:rsidRPr="00D94AE8" w:rsidRDefault="006A3699" w:rsidP="006A3699">
      <w:pPr>
        <w:spacing w:line="360" w:lineRule="auto"/>
        <w:rPr>
          <w:rFonts w:ascii="Arial" w:hAnsi="Arial" w:cs="Arial"/>
          <w:sz w:val="24"/>
          <w:szCs w:val="24"/>
        </w:rPr>
      </w:pPr>
    </w:p>
    <w:p w14:paraId="5ACDCF5D"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Prospective data collection on actual learner numbers per day, per theatre, across a representative sample of trusts, to test whether the PCI formula produces figures that are consistent with what experienced educators consider achievable.</w:t>
      </w:r>
    </w:p>
    <w:p w14:paraId="2498FBBA" w14:textId="038118EB" w:rsidR="006A3699" w:rsidRDefault="006A3699" w:rsidP="006A3699">
      <w:pPr>
        <w:spacing w:line="360" w:lineRule="auto"/>
        <w:rPr>
          <w:rFonts w:ascii="Arial" w:hAnsi="Arial" w:cs="Arial"/>
          <w:sz w:val="24"/>
          <w:szCs w:val="24"/>
        </w:rPr>
      </w:pPr>
      <w:r w:rsidRPr="00D94AE8">
        <w:rPr>
          <w:rFonts w:ascii="Arial" w:hAnsi="Arial" w:cs="Arial"/>
          <w:sz w:val="24"/>
          <w:szCs w:val="24"/>
        </w:rPr>
        <w:t>Analysis of operational attrition data from theatre scheduling systems to establish an evidence-based attrition factor in place of the estimated range.</w:t>
      </w:r>
      <w:r w:rsidR="00E825B0">
        <w:rPr>
          <w:rFonts w:ascii="Arial" w:hAnsi="Arial" w:cs="Arial"/>
          <w:sz w:val="24"/>
          <w:szCs w:val="24"/>
        </w:rPr>
        <w:t xml:space="preserve"> </w:t>
      </w:r>
      <w:r w:rsidR="00E825B0" w:rsidRPr="00E825B0">
        <w:rPr>
          <w:rFonts w:ascii="Arial" w:hAnsi="Arial" w:cs="Arial"/>
          <w:sz w:val="24"/>
          <w:szCs w:val="24"/>
        </w:rPr>
        <w:t xml:space="preserve">Quantitative study of the impact of learners on theatre time use and capacity, following the model established for other allied health professions by Bourne et al.'s (2019) systematic review and meta-analysis of placement impact on clinician time use and productivity, has not yet been </w:t>
      </w:r>
      <w:r w:rsidR="00E825B0" w:rsidRPr="00E825B0">
        <w:rPr>
          <w:rFonts w:ascii="Arial" w:hAnsi="Arial" w:cs="Arial"/>
          <w:sz w:val="24"/>
          <w:szCs w:val="24"/>
        </w:rPr>
        <w:lastRenderedPageBreak/>
        <w:t>undertaken for the perioperative environment and would test whether the assumptions underlying the attrition factor hold in practice.</w:t>
      </w:r>
    </w:p>
    <w:p w14:paraId="1BFDD95A" w14:textId="77777777" w:rsidR="006A3699" w:rsidRPr="00D94AE8" w:rsidRDefault="006A3699" w:rsidP="006A3699">
      <w:pPr>
        <w:spacing w:line="360" w:lineRule="auto"/>
        <w:rPr>
          <w:rFonts w:ascii="Arial" w:hAnsi="Arial" w:cs="Arial"/>
          <w:sz w:val="24"/>
          <w:szCs w:val="24"/>
        </w:rPr>
      </w:pPr>
    </w:p>
    <w:p w14:paraId="74880FCF"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Development and testing of a learner-type weighting system for use in SLC calculations, distinguishing between observational learners (T Level, work experience), early-stage pre-registration students, final-stage learners with active clinical participation requirements, and registered or unregistered staff undertaking supernumerary induction, who require weighting on the basis of professional accountability and scope of practice rather than clinical experience alone.</w:t>
      </w:r>
    </w:p>
    <w:p w14:paraId="22D3684B" w14:textId="77777777" w:rsidR="006A3699" w:rsidRPr="00D94AE8" w:rsidRDefault="006A3699" w:rsidP="006A3699">
      <w:pPr>
        <w:spacing w:line="360" w:lineRule="auto"/>
        <w:rPr>
          <w:rFonts w:ascii="Arial" w:hAnsi="Arial" w:cs="Arial"/>
          <w:sz w:val="24"/>
          <w:szCs w:val="24"/>
        </w:rPr>
      </w:pPr>
    </w:p>
    <w:p w14:paraId="2354D4E6"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A cross-trust benchmarking exercise comparing current annual placement allocations with PCI figures, to quantify the national scale of unrealised placement capacity.</w:t>
      </w:r>
    </w:p>
    <w:p w14:paraId="08783242"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Qualitative research with theatre educators and practice supervisors to understand the non-physical factors that limit placement uptake, including cultural, relational, and workload variables that the formula does not capture.</w:t>
      </w:r>
    </w:p>
    <w:p w14:paraId="1FDE80A7" w14:textId="77777777" w:rsidR="002B5A88" w:rsidRDefault="002B5A88" w:rsidP="006A3699">
      <w:pPr>
        <w:spacing w:line="360" w:lineRule="auto"/>
        <w:rPr>
          <w:rFonts w:ascii="Arial" w:hAnsi="Arial" w:cs="Arial"/>
          <w:sz w:val="24"/>
          <w:szCs w:val="24"/>
        </w:rPr>
      </w:pPr>
    </w:p>
    <w:p w14:paraId="49FD817F" w14:textId="06E0CD36" w:rsidR="00636C66" w:rsidRDefault="00636C66" w:rsidP="006A3699">
      <w:pPr>
        <w:spacing w:line="360" w:lineRule="auto"/>
        <w:rPr>
          <w:rFonts w:ascii="Arial" w:hAnsi="Arial" w:cs="Arial"/>
          <w:sz w:val="24"/>
          <w:szCs w:val="24"/>
        </w:rPr>
      </w:pPr>
      <w:r w:rsidRPr="00636C66">
        <w:rPr>
          <w:rFonts w:ascii="Arial" w:hAnsi="Arial" w:cs="Arial"/>
          <w:sz w:val="24"/>
          <w:szCs w:val="24"/>
        </w:rPr>
        <w:t>Exploration of collaborative and interprofessional supervision models, such as two or three learners supervised together across professions, as a way of increasing realised capacity within a fixed physical ceiling. Boshoff et al.'s (2020) scoping review found such models used across allied health placements more broadly, though not yet examined in the perioperative environment specifically, and their relationship to the PCI's physical ceiling and to the SLC assessment proposed above has not been tested.</w:t>
      </w:r>
    </w:p>
    <w:p w14:paraId="062CB205" w14:textId="77777777" w:rsidR="006A3699" w:rsidRPr="00D94AE8" w:rsidRDefault="006A3699" w:rsidP="006A3699">
      <w:pPr>
        <w:spacing w:line="360" w:lineRule="auto"/>
        <w:rPr>
          <w:rFonts w:ascii="Arial" w:hAnsi="Arial" w:cs="Arial"/>
          <w:sz w:val="24"/>
          <w:szCs w:val="24"/>
        </w:rPr>
      </w:pPr>
    </w:p>
    <w:p w14:paraId="7BB62B73" w14:textId="77777777" w:rsidR="006A3699" w:rsidRPr="00D94AE8" w:rsidRDefault="006A3699" w:rsidP="006A3699">
      <w:pPr>
        <w:spacing w:line="360" w:lineRule="auto"/>
        <w:rPr>
          <w:rFonts w:ascii="Arial" w:hAnsi="Arial" w:cs="Arial"/>
          <w:b/>
          <w:bCs/>
          <w:sz w:val="24"/>
          <w:szCs w:val="24"/>
        </w:rPr>
      </w:pPr>
      <w:r w:rsidRPr="00D94AE8">
        <w:rPr>
          <w:rFonts w:ascii="Arial" w:hAnsi="Arial" w:cs="Arial"/>
          <w:b/>
          <w:bCs/>
          <w:sz w:val="24"/>
          <w:szCs w:val="24"/>
        </w:rPr>
        <w:t>Conclusion</w:t>
      </w:r>
    </w:p>
    <w:p w14:paraId="16ADDF7A" w14:textId="77777777" w:rsidR="006A3699" w:rsidRPr="00D94AE8" w:rsidRDefault="09555241" w:rsidP="006A3699">
      <w:pPr>
        <w:spacing w:line="360" w:lineRule="auto"/>
        <w:rPr>
          <w:rFonts w:ascii="Arial" w:hAnsi="Arial" w:cs="Arial"/>
          <w:sz w:val="24"/>
          <w:szCs w:val="24"/>
        </w:rPr>
      </w:pPr>
      <w:r w:rsidRPr="6C36B86B">
        <w:rPr>
          <w:rFonts w:ascii="Arial" w:hAnsi="Arial" w:cs="Arial"/>
          <w:sz w:val="24"/>
          <w:szCs w:val="24"/>
        </w:rPr>
        <w:t>The perioperative workforce faces a supply problem with a structural cause. Placement capacity in theatre departments is constrained not primarily by the physical environment, but by the absence of any methodology for calculating what that environment can support. Trust-level placement decisions are made by custom and practice rather than by evidence, and the resulting variation is wide, arbitrary, and difficult to challenge without a shared baseline.</w:t>
      </w:r>
    </w:p>
    <w:p w14:paraId="0E9C7684" w14:textId="2A5DC8B5" w:rsidR="6C36B86B" w:rsidRDefault="6C36B86B" w:rsidP="6C36B86B">
      <w:pPr>
        <w:spacing w:line="360" w:lineRule="auto"/>
        <w:rPr>
          <w:rFonts w:ascii="Arial" w:hAnsi="Arial" w:cs="Arial"/>
          <w:sz w:val="24"/>
          <w:szCs w:val="24"/>
        </w:rPr>
      </w:pPr>
    </w:p>
    <w:p w14:paraId="2763192C"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lastRenderedPageBreak/>
        <w:t>The Physical Capacity Index formula proposed in this paper is a first step toward that baseline. It is not a finished standard, and it should not be applied mechanically without the local professional judgement of experienced theatre educators. But it provides a structured starting point for a conversation that the perioperative education community needs to have at scale: not about whether to expand placement capacity, but about how to calculate what expansion is possible, and what it would take to realise it.</w:t>
      </w:r>
    </w:p>
    <w:p w14:paraId="1FC97C43"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Investment in recruitment, awareness, and profile-raising activities for perioperative careers will not translate into workforce growth if the placement infrastructure cannot absorb the learners those activities generate. The formula proposed here is a tool for making that infrastructure visible, measurable, and subject to structured improvement.</w:t>
      </w:r>
    </w:p>
    <w:p w14:paraId="0FB0D090" w14:textId="77777777" w:rsidR="006A3699" w:rsidRDefault="006A3699" w:rsidP="006A3699">
      <w:pPr>
        <w:spacing w:line="360" w:lineRule="auto"/>
        <w:rPr>
          <w:rFonts w:ascii="Arial" w:hAnsi="Arial" w:cs="Arial"/>
          <w:sz w:val="24"/>
          <w:szCs w:val="24"/>
        </w:rPr>
      </w:pPr>
    </w:p>
    <w:p w14:paraId="0D3DDCF6" w14:textId="77777777" w:rsidR="006A3699" w:rsidRPr="00D94AE8" w:rsidRDefault="006A3699" w:rsidP="006A3699">
      <w:pPr>
        <w:spacing w:line="360" w:lineRule="auto"/>
        <w:rPr>
          <w:rFonts w:ascii="Arial" w:hAnsi="Arial" w:cs="Arial"/>
          <w:b/>
          <w:bCs/>
          <w:sz w:val="24"/>
          <w:szCs w:val="24"/>
        </w:rPr>
      </w:pPr>
      <w:r w:rsidRPr="00D94AE8">
        <w:rPr>
          <w:rFonts w:ascii="Arial" w:hAnsi="Arial" w:cs="Arial"/>
          <w:b/>
          <w:bCs/>
          <w:sz w:val="24"/>
          <w:szCs w:val="24"/>
        </w:rPr>
        <w:t>References</w:t>
      </w:r>
    </w:p>
    <w:p w14:paraId="1808DF42" w14:textId="1F411C73" w:rsidR="00C26AF6" w:rsidRDefault="00C26AF6" w:rsidP="006A3699">
      <w:pPr>
        <w:spacing w:line="360" w:lineRule="auto"/>
        <w:rPr>
          <w:rFonts w:ascii="Arial" w:hAnsi="Arial" w:cs="Arial"/>
          <w:sz w:val="24"/>
          <w:szCs w:val="24"/>
        </w:rPr>
      </w:pPr>
      <w:r w:rsidRPr="00C26AF6">
        <w:rPr>
          <w:rFonts w:ascii="Arial" w:hAnsi="Arial" w:cs="Arial"/>
          <w:sz w:val="24"/>
          <w:szCs w:val="24"/>
        </w:rPr>
        <w:t xml:space="preserve">Bell, A., Borges Dario, A., Klinner, C., Nisbet, G., Penman, M., Storer, D. and </w:t>
      </w:r>
      <w:proofErr w:type="spellStart"/>
      <w:r w:rsidRPr="00C26AF6">
        <w:rPr>
          <w:rFonts w:ascii="Arial" w:hAnsi="Arial" w:cs="Arial"/>
          <w:sz w:val="24"/>
          <w:szCs w:val="24"/>
        </w:rPr>
        <w:t>Monrouxe</w:t>
      </w:r>
      <w:proofErr w:type="spellEnd"/>
      <w:r w:rsidRPr="00C26AF6">
        <w:rPr>
          <w:rFonts w:ascii="Arial" w:hAnsi="Arial" w:cs="Arial"/>
          <w:sz w:val="24"/>
          <w:szCs w:val="24"/>
        </w:rPr>
        <w:t xml:space="preserve">, L. (2025) 'Improving the quality of allied health placements: student, educator and organisational preparedness', </w:t>
      </w:r>
      <w:r w:rsidRPr="00C26AF6">
        <w:rPr>
          <w:rFonts w:ascii="Arial" w:hAnsi="Arial" w:cs="Arial"/>
          <w:i/>
          <w:iCs/>
          <w:sz w:val="24"/>
          <w:szCs w:val="24"/>
        </w:rPr>
        <w:t>Studies in Continuing Education</w:t>
      </w:r>
      <w:r w:rsidRPr="00C26AF6">
        <w:rPr>
          <w:rFonts w:ascii="Arial" w:hAnsi="Arial" w:cs="Arial"/>
          <w:sz w:val="24"/>
          <w:szCs w:val="24"/>
        </w:rPr>
        <w:t>, 47(1), pp. 337-359</w:t>
      </w:r>
    </w:p>
    <w:p w14:paraId="222DB285" w14:textId="77777777" w:rsidR="00C26AF6" w:rsidRDefault="00C26AF6" w:rsidP="006A3699">
      <w:pPr>
        <w:spacing w:line="360" w:lineRule="auto"/>
        <w:rPr>
          <w:rFonts w:ascii="Arial" w:hAnsi="Arial" w:cs="Arial"/>
          <w:sz w:val="24"/>
          <w:szCs w:val="24"/>
        </w:rPr>
      </w:pPr>
    </w:p>
    <w:p w14:paraId="19528922" w14:textId="3E7B3764" w:rsidR="006A3699" w:rsidRDefault="006A3699" w:rsidP="006A3699">
      <w:pPr>
        <w:spacing w:line="360" w:lineRule="auto"/>
        <w:rPr>
          <w:rFonts w:ascii="Arial" w:hAnsi="Arial" w:cs="Arial"/>
          <w:sz w:val="24"/>
          <w:szCs w:val="24"/>
        </w:rPr>
      </w:pPr>
      <w:r w:rsidRPr="00D94AE8">
        <w:rPr>
          <w:rFonts w:ascii="Arial" w:hAnsi="Arial" w:cs="Arial"/>
          <w:sz w:val="24"/>
          <w:szCs w:val="24"/>
        </w:rPr>
        <w:t>Boniface, R. and Whalley, G. (2025) Analysis of T Level students' destinations: second cohort. A report to the Gatsby Charitable Foundation. RCU.</w:t>
      </w:r>
    </w:p>
    <w:p w14:paraId="61EBCD8A" w14:textId="77777777" w:rsidR="00636C66" w:rsidRDefault="00636C66" w:rsidP="006A3699">
      <w:pPr>
        <w:spacing w:line="360" w:lineRule="auto"/>
        <w:rPr>
          <w:rFonts w:ascii="Arial" w:hAnsi="Arial" w:cs="Arial"/>
          <w:sz w:val="24"/>
          <w:szCs w:val="24"/>
        </w:rPr>
      </w:pPr>
    </w:p>
    <w:p w14:paraId="259BCA9C" w14:textId="61D27553" w:rsidR="00FD6E94" w:rsidRDefault="00636C66" w:rsidP="006A3699">
      <w:pPr>
        <w:spacing w:line="360" w:lineRule="auto"/>
        <w:rPr>
          <w:rFonts w:ascii="Arial" w:hAnsi="Arial" w:cs="Arial"/>
          <w:sz w:val="24"/>
          <w:szCs w:val="24"/>
        </w:rPr>
      </w:pPr>
      <w:r w:rsidRPr="00636C66">
        <w:rPr>
          <w:rFonts w:ascii="Arial" w:hAnsi="Arial" w:cs="Arial"/>
          <w:sz w:val="24"/>
          <w:szCs w:val="24"/>
        </w:rPr>
        <w:t xml:space="preserve">Boshoff, K., Murray, C., Worley, A. and Berndt, A. (2020) 'Interprofessional education placements in allied health: a scoping review', </w:t>
      </w:r>
      <w:r w:rsidRPr="00636C66">
        <w:rPr>
          <w:rFonts w:ascii="Arial" w:hAnsi="Arial" w:cs="Arial"/>
          <w:i/>
          <w:iCs/>
          <w:sz w:val="24"/>
          <w:szCs w:val="24"/>
        </w:rPr>
        <w:t>Scandinavian Journal of Occupational Therapy</w:t>
      </w:r>
      <w:r w:rsidRPr="00636C66">
        <w:rPr>
          <w:rFonts w:ascii="Arial" w:hAnsi="Arial" w:cs="Arial"/>
          <w:sz w:val="24"/>
          <w:szCs w:val="24"/>
        </w:rPr>
        <w:t>, 27(2), pp. 80-97.</w:t>
      </w:r>
    </w:p>
    <w:p w14:paraId="445221AE" w14:textId="77777777" w:rsidR="00636C66" w:rsidRDefault="00636C66" w:rsidP="006A3699">
      <w:pPr>
        <w:spacing w:line="360" w:lineRule="auto"/>
        <w:rPr>
          <w:rFonts w:ascii="Arial" w:hAnsi="Arial" w:cs="Arial"/>
          <w:sz w:val="24"/>
          <w:szCs w:val="24"/>
        </w:rPr>
      </w:pPr>
    </w:p>
    <w:p w14:paraId="55B6157F" w14:textId="494657CF" w:rsidR="00FD6E94" w:rsidRDefault="00FD6E94" w:rsidP="006A3699">
      <w:pPr>
        <w:spacing w:line="360" w:lineRule="auto"/>
        <w:rPr>
          <w:rFonts w:ascii="Arial" w:hAnsi="Arial" w:cs="Arial"/>
          <w:sz w:val="24"/>
          <w:szCs w:val="24"/>
        </w:rPr>
      </w:pPr>
      <w:r w:rsidRPr="00FD6E94">
        <w:rPr>
          <w:rFonts w:ascii="Arial" w:hAnsi="Arial" w:cs="Arial"/>
          <w:sz w:val="24"/>
          <w:szCs w:val="24"/>
        </w:rPr>
        <w:t xml:space="preserve">Bourne, E., Short, K., McAllister, L. and Nagarajan, S. (2019) 'The quantitative impact of placements on allied health time use and productivity in healthcare facilities: a systematic review with meta-analysis', </w:t>
      </w:r>
      <w:r w:rsidRPr="00FD6E94">
        <w:rPr>
          <w:rFonts w:ascii="Arial" w:hAnsi="Arial" w:cs="Arial"/>
          <w:i/>
          <w:iCs/>
          <w:sz w:val="24"/>
          <w:szCs w:val="24"/>
        </w:rPr>
        <w:t>Focus on Health Professional Education: A Multi-Professional Journal</w:t>
      </w:r>
      <w:r w:rsidRPr="00FD6E94">
        <w:rPr>
          <w:rFonts w:ascii="Arial" w:hAnsi="Arial" w:cs="Arial"/>
          <w:sz w:val="24"/>
          <w:szCs w:val="24"/>
        </w:rPr>
        <w:t>, 20(2), pp. 8-41.</w:t>
      </w:r>
    </w:p>
    <w:p w14:paraId="66355F97" w14:textId="77777777" w:rsidR="00FD6E94" w:rsidRDefault="00FD6E94" w:rsidP="006A3699">
      <w:pPr>
        <w:spacing w:line="360" w:lineRule="auto"/>
        <w:rPr>
          <w:rFonts w:ascii="Arial" w:hAnsi="Arial" w:cs="Arial"/>
          <w:sz w:val="24"/>
          <w:szCs w:val="24"/>
        </w:rPr>
      </w:pPr>
    </w:p>
    <w:p w14:paraId="144E7955" w14:textId="69DDFBB4" w:rsidR="00FD6E94" w:rsidRDefault="00FD6E94" w:rsidP="006A3699">
      <w:pPr>
        <w:spacing w:line="360" w:lineRule="auto"/>
        <w:rPr>
          <w:rFonts w:ascii="Arial" w:hAnsi="Arial" w:cs="Arial"/>
          <w:sz w:val="24"/>
          <w:szCs w:val="24"/>
        </w:rPr>
      </w:pPr>
      <w:r w:rsidRPr="00FD6E94">
        <w:rPr>
          <w:rFonts w:ascii="Arial" w:hAnsi="Arial" w:cs="Arial"/>
          <w:sz w:val="24"/>
          <w:szCs w:val="24"/>
        </w:rPr>
        <w:lastRenderedPageBreak/>
        <w:t xml:space="preserve">Bowles, K., Haines, T., Molloy, E., Maloney, S., Kent, F., </w:t>
      </w:r>
      <w:proofErr w:type="spellStart"/>
      <w:r w:rsidRPr="00FD6E94">
        <w:rPr>
          <w:rFonts w:ascii="Arial" w:hAnsi="Arial" w:cs="Arial"/>
          <w:sz w:val="24"/>
          <w:szCs w:val="24"/>
        </w:rPr>
        <w:t>Sevenhuysen</w:t>
      </w:r>
      <w:proofErr w:type="spellEnd"/>
      <w:r w:rsidRPr="00FD6E94">
        <w:rPr>
          <w:rFonts w:ascii="Arial" w:hAnsi="Arial" w:cs="Arial"/>
          <w:sz w:val="24"/>
          <w:szCs w:val="24"/>
        </w:rPr>
        <w:t xml:space="preserve">, S. and Tai, J. (2015) </w:t>
      </w:r>
      <w:r w:rsidRPr="00FD6E94">
        <w:rPr>
          <w:rFonts w:ascii="Arial" w:hAnsi="Arial" w:cs="Arial"/>
          <w:i/>
          <w:iCs/>
          <w:sz w:val="24"/>
          <w:szCs w:val="24"/>
        </w:rPr>
        <w:t>The costs and benefits of providing undergraduate student clinical placements for a health service organisation: an Evidence Check rapid review</w:t>
      </w:r>
      <w:r w:rsidRPr="00FD6E94">
        <w:rPr>
          <w:rFonts w:ascii="Arial" w:hAnsi="Arial" w:cs="Arial"/>
          <w:sz w:val="24"/>
          <w:szCs w:val="24"/>
        </w:rPr>
        <w:t>. Sax Institute.</w:t>
      </w:r>
    </w:p>
    <w:p w14:paraId="0E63A6EF" w14:textId="77777777" w:rsidR="006A3699" w:rsidRDefault="006A3699" w:rsidP="006A3699">
      <w:pPr>
        <w:spacing w:line="360" w:lineRule="auto"/>
        <w:rPr>
          <w:rFonts w:ascii="Arial" w:hAnsi="Arial" w:cs="Arial"/>
          <w:sz w:val="24"/>
          <w:szCs w:val="24"/>
        </w:rPr>
      </w:pPr>
    </w:p>
    <w:p w14:paraId="1FECB2CE" w14:textId="20CCF627" w:rsidR="0063021D" w:rsidRDefault="0063021D" w:rsidP="006A3699">
      <w:pPr>
        <w:spacing w:line="360" w:lineRule="auto"/>
        <w:rPr>
          <w:rFonts w:ascii="Arial" w:hAnsi="Arial" w:cs="Arial"/>
          <w:sz w:val="24"/>
          <w:szCs w:val="24"/>
        </w:rPr>
      </w:pPr>
      <w:r w:rsidRPr="0063021D">
        <w:rPr>
          <w:rFonts w:ascii="Arial" w:hAnsi="Arial" w:cs="Arial"/>
          <w:sz w:val="24"/>
          <w:szCs w:val="24"/>
        </w:rPr>
        <w:t xml:space="preserve">College of Operating Department Practitioners (2018) </w:t>
      </w:r>
      <w:r w:rsidRPr="0063021D">
        <w:rPr>
          <w:rFonts w:ascii="Arial" w:hAnsi="Arial" w:cs="Arial"/>
          <w:i/>
          <w:iCs/>
          <w:sz w:val="24"/>
          <w:szCs w:val="24"/>
        </w:rPr>
        <w:t>BSc (Hons) in Operating Department Practice Curriculum Document</w:t>
      </w:r>
      <w:r w:rsidRPr="0063021D">
        <w:rPr>
          <w:rFonts w:ascii="Arial" w:hAnsi="Arial" w:cs="Arial"/>
          <w:sz w:val="24"/>
          <w:szCs w:val="24"/>
        </w:rPr>
        <w:t>. London: CODP.</w:t>
      </w:r>
    </w:p>
    <w:p w14:paraId="1A9B8ECD" w14:textId="77777777" w:rsidR="0063021D" w:rsidRPr="00D94AE8" w:rsidRDefault="0063021D" w:rsidP="006A3699">
      <w:pPr>
        <w:spacing w:line="360" w:lineRule="auto"/>
        <w:rPr>
          <w:rFonts w:ascii="Arial" w:hAnsi="Arial" w:cs="Arial"/>
          <w:sz w:val="24"/>
          <w:szCs w:val="24"/>
        </w:rPr>
      </w:pPr>
    </w:p>
    <w:p w14:paraId="2007E08A" w14:textId="412D1CC9" w:rsidR="006A3699" w:rsidRDefault="00F26286" w:rsidP="006A3699">
      <w:pPr>
        <w:spacing w:line="360" w:lineRule="auto"/>
        <w:rPr>
          <w:rFonts w:ascii="Arial" w:hAnsi="Arial" w:cs="Arial"/>
          <w:sz w:val="24"/>
          <w:szCs w:val="24"/>
        </w:rPr>
      </w:pPr>
      <w:r w:rsidRPr="00F26286">
        <w:rPr>
          <w:rFonts w:ascii="Arial" w:hAnsi="Arial" w:cs="Arial"/>
          <w:sz w:val="24"/>
          <w:szCs w:val="24"/>
        </w:rPr>
        <w:t xml:space="preserve">College of Operating Department Practitioners (2021) </w:t>
      </w:r>
      <w:r w:rsidRPr="00F26286">
        <w:rPr>
          <w:rFonts w:ascii="Arial" w:hAnsi="Arial" w:cs="Arial"/>
          <w:i/>
          <w:iCs/>
          <w:sz w:val="24"/>
          <w:szCs w:val="24"/>
        </w:rPr>
        <w:t>Standards for Supporting Pre-Registration Operating Department Practitioner Education in Practice Placements</w:t>
      </w:r>
      <w:r w:rsidRPr="00F26286">
        <w:rPr>
          <w:rFonts w:ascii="Arial" w:hAnsi="Arial" w:cs="Arial"/>
          <w:sz w:val="24"/>
          <w:szCs w:val="24"/>
        </w:rPr>
        <w:t>. London: CODP.</w:t>
      </w:r>
      <w:r w:rsidR="006A3699" w:rsidRPr="00D94AE8">
        <w:rPr>
          <w:rFonts w:ascii="Arial" w:hAnsi="Arial" w:cs="Arial"/>
          <w:sz w:val="24"/>
          <w:szCs w:val="24"/>
        </w:rPr>
        <w:t>.</w:t>
      </w:r>
    </w:p>
    <w:p w14:paraId="693DCD12" w14:textId="77777777" w:rsidR="006A3699" w:rsidRPr="00D94AE8" w:rsidRDefault="006A3699" w:rsidP="006A3699">
      <w:pPr>
        <w:spacing w:line="360" w:lineRule="auto"/>
        <w:rPr>
          <w:rFonts w:ascii="Arial" w:hAnsi="Arial" w:cs="Arial"/>
          <w:sz w:val="24"/>
          <w:szCs w:val="24"/>
        </w:rPr>
      </w:pPr>
    </w:p>
    <w:p w14:paraId="02F11B90"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Griffin, R. (2026) Inspiring the next generation: T-Levels and health and social care workforce planning and progression. A report to the Gatsby Charitable Foundation. King's Business School.</w:t>
      </w:r>
    </w:p>
    <w:p w14:paraId="76BB05A0" w14:textId="77777777" w:rsidR="006A3699" w:rsidRPr="00D94AE8" w:rsidRDefault="006A3699" w:rsidP="006A3699">
      <w:pPr>
        <w:spacing w:line="360" w:lineRule="auto"/>
        <w:rPr>
          <w:rFonts w:ascii="Arial" w:hAnsi="Arial" w:cs="Arial"/>
          <w:sz w:val="24"/>
          <w:szCs w:val="24"/>
        </w:rPr>
      </w:pPr>
    </w:p>
    <w:p w14:paraId="7FD3D2AB" w14:textId="77777777" w:rsidR="006A3699" w:rsidRPr="00D94AE8" w:rsidRDefault="006A3699" w:rsidP="006A3699">
      <w:pPr>
        <w:spacing w:line="360" w:lineRule="auto"/>
        <w:rPr>
          <w:rFonts w:ascii="Arial" w:hAnsi="Arial" w:cs="Arial"/>
          <w:sz w:val="24"/>
          <w:szCs w:val="24"/>
        </w:rPr>
      </w:pPr>
      <w:r w:rsidRPr="00D94AE8">
        <w:rPr>
          <w:rFonts w:ascii="Arial" w:hAnsi="Arial" w:cs="Arial"/>
          <w:sz w:val="24"/>
          <w:szCs w:val="24"/>
        </w:rPr>
        <w:t>Hasson, F., Keeney, S. and McKenna, H. (2000) 'Research guidelines for the Delphi survey technique', Journal of Advanced Nursing, 32(4), pp. 1008-1015.</w:t>
      </w:r>
    </w:p>
    <w:p w14:paraId="7C45F183"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Health Education England (2022) Scoping the future of the ODP workforce: full report. Leeds: Health Education England.</w:t>
      </w:r>
    </w:p>
    <w:p w14:paraId="224F377C" w14:textId="77777777" w:rsidR="006A3699" w:rsidRPr="00D94AE8" w:rsidRDefault="006A3699" w:rsidP="006A3699">
      <w:pPr>
        <w:spacing w:line="360" w:lineRule="auto"/>
        <w:rPr>
          <w:rFonts w:ascii="Arial" w:hAnsi="Arial" w:cs="Arial"/>
          <w:sz w:val="24"/>
          <w:szCs w:val="24"/>
        </w:rPr>
      </w:pPr>
    </w:p>
    <w:p w14:paraId="5410647D"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Loewen, P., Legal, M., Gamble, A., Shah, K., Tkachuk, S. and Zed, P. (2017) '</w:t>
      </w:r>
      <w:proofErr w:type="spellStart"/>
      <w:r w:rsidRPr="00D94AE8">
        <w:rPr>
          <w:rFonts w:ascii="Arial" w:hAnsi="Arial" w:cs="Arial"/>
          <w:sz w:val="24"/>
          <w:szCs w:val="24"/>
        </w:rPr>
        <w:t>Learner:preceptor</w:t>
      </w:r>
      <w:proofErr w:type="spellEnd"/>
      <w:r w:rsidRPr="00D94AE8">
        <w:rPr>
          <w:rFonts w:ascii="Arial" w:hAnsi="Arial" w:cs="Arial"/>
          <w:sz w:val="24"/>
          <w:szCs w:val="24"/>
        </w:rPr>
        <w:t xml:space="preserve"> ratios for practice-based learning across health disciplines: a systematic review', Medical Education, 51(2), pp. 146-157.</w:t>
      </w:r>
    </w:p>
    <w:p w14:paraId="13EC0473" w14:textId="77777777" w:rsidR="006A3699" w:rsidRPr="00D94AE8" w:rsidRDefault="006A3699" w:rsidP="006A3699">
      <w:pPr>
        <w:spacing w:line="360" w:lineRule="auto"/>
        <w:rPr>
          <w:rFonts w:ascii="Arial" w:hAnsi="Arial" w:cs="Arial"/>
          <w:sz w:val="24"/>
          <w:szCs w:val="24"/>
        </w:rPr>
      </w:pPr>
    </w:p>
    <w:p w14:paraId="60737EFA" w14:textId="77777777" w:rsidR="006A3699" w:rsidRPr="00D94AE8" w:rsidRDefault="7D0B36F1" w:rsidP="006A3699">
      <w:pPr>
        <w:spacing w:line="360" w:lineRule="auto"/>
      </w:pPr>
      <w:r w:rsidRPr="18B85684">
        <w:rPr>
          <w:rFonts w:ascii="Arial" w:hAnsi="Arial" w:cs="Arial"/>
          <w:sz w:val="24"/>
          <w:szCs w:val="24"/>
        </w:rPr>
        <w:t>McBride, L-J., Fitzgerald, C., Costello, C. and Perkins, K. (2018) 'Allied health pre-entry student clinical placement capacity: can it be sustained?', Australian Health Review, 44(1), pp. 39-46.</w:t>
      </w:r>
    </w:p>
    <w:p w14:paraId="2AB6418F" w14:textId="34CD3459" w:rsidR="18B85684" w:rsidRDefault="18B85684" w:rsidP="18B85684">
      <w:pPr>
        <w:spacing w:line="360" w:lineRule="auto"/>
        <w:rPr>
          <w:rFonts w:ascii="Arial" w:hAnsi="Arial" w:cs="Arial"/>
          <w:sz w:val="24"/>
          <w:szCs w:val="24"/>
        </w:rPr>
      </w:pPr>
    </w:p>
    <w:p w14:paraId="74F88374" w14:textId="09CE533B" w:rsidR="006A3699" w:rsidRDefault="7D0B36F1" w:rsidP="006A3699">
      <w:pPr>
        <w:spacing w:line="360" w:lineRule="auto"/>
      </w:pPr>
      <w:r w:rsidRPr="18B85684">
        <w:rPr>
          <w:rFonts w:ascii="Arial" w:hAnsi="Arial" w:cs="Arial"/>
          <w:sz w:val="24"/>
          <w:szCs w:val="24"/>
        </w:rPr>
        <w:t xml:space="preserve">Mustafa, A.M., Day, S., Higginson, J. and Sharp, I. (2020) 'Determinants of lost theatre capacity', British Journal of Oral and Maxillofacial Surgery, 58(9), pp. 1139-1144. </w:t>
      </w:r>
      <w:hyperlink r:id="rId7">
        <w:r w:rsidRPr="18B85684">
          <w:rPr>
            <w:rStyle w:val="Hyperlink"/>
            <w:rFonts w:ascii="Arial" w:hAnsi="Arial" w:cs="Arial"/>
            <w:sz w:val="24"/>
            <w:szCs w:val="24"/>
          </w:rPr>
          <w:t>https://doi.org/10.1016/j.bjoms.2020.07.034</w:t>
        </w:r>
      </w:hyperlink>
    </w:p>
    <w:p w14:paraId="2DEDE890" w14:textId="6F7DA1C3" w:rsidR="00C86531" w:rsidRPr="00D94AE8" w:rsidRDefault="00C86531" w:rsidP="18B85684">
      <w:pPr>
        <w:spacing w:line="360" w:lineRule="auto"/>
        <w:rPr>
          <w:rFonts w:ascii="Arial" w:hAnsi="Arial" w:cs="Arial"/>
          <w:sz w:val="24"/>
          <w:szCs w:val="24"/>
        </w:rPr>
      </w:pPr>
    </w:p>
    <w:p w14:paraId="196E762E" w14:textId="7185F5BF" w:rsidR="00C86531" w:rsidRPr="00D94AE8" w:rsidRDefault="488AE454" w:rsidP="18B85684">
      <w:pPr>
        <w:spacing w:line="360" w:lineRule="auto"/>
      </w:pPr>
      <w:r w:rsidRPr="18B85684">
        <w:rPr>
          <w:rFonts w:ascii="Arial" w:eastAsia="Arial" w:hAnsi="Arial" w:cs="Arial"/>
          <w:sz w:val="24"/>
          <w:szCs w:val="24"/>
        </w:rPr>
        <w:t xml:space="preserve">Nightingale, A., Cadman, V., McIntyre, V., </w:t>
      </w:r>
      <w:proofErr w:type="spellStart"/>
      <w:r w:rsidRPr="18B85684">
        <w:rPr>
          <w:rFonts w:ascii="Arial" w:eastAsia="Arial" w:hAnsi="Arial" w:cs="Arial"/>
          <w:sz w:val="24"/>
          <w:szCs w:val="24"/>
        </w:rPr>
        <w:t>Pachniuk</w:t>
      </w:r>
      <w:proofErr w:type="spellEnd"/>
      <w:r w:rsidRPr="18B85684">
        <w:rPr>
          <w:rFonts w:ascii="Arial" w:eastAsia="Arial" w:hAnsi="Arial" w:cs="Arial"/>
          <w:sz w:val="24"/>
          <w:szCs w:val="24"/>
        </w:rPr>
        <w:t xml:space="preserve">, S. and Murdoch, H. (2025) 'Operating Department Practitioner's research priorities: A Delphi study', Journal of Perioperative Practice, 36(3), pp. 154-163. </w:t>
      </w:r>
      <w:hyperlink r:id="rId8">
        <w:r w:rsidRPr="18B85684">
          <w:rPr>
            <w:rStyle w:val="Hyperlink"/>
            <w:rFonts w:ascii="Arial" w:eastAsia="Arial" w:hAnsi="Arial" w:cs="Arial"/>
            <w:sz w:val="24"/>
            <w:szCs w:val="24"/>
          </w:rPr>
          <w:t>https://doi.org/10.1177/17504589251330423</w:t>
        </w:r>
      </w:hyperlink>
    </w:p>
    <w:p w14:paraId="37E84C3F" w14:textId="11B1A6CB" w:rsidR="18B85684" w:rsidRDefault="18B85684" w:rsidP="18B85684">
      <w:pPr>
        <w:spacing w:line="360" w:lineRule="auto"/>
        <w:rPr>
          <w:rFonts w:ascii="Arial" w:eastAsia="Arial" w:hAnsi="Arial" w:cs="Arial"/>
          <w:sz w:val="24"/>
          <w:szCs w:val="24"/>
        </w:rPr>
      </w:pPr>
    </w:p>
    <w:p w14:paraId="234C8BB3" w14:textId="478C5877" w:rsidR="00C86531" w:rsidRDefault="006A3699" w:rsidP="006A3699">
      <w:pPr>
        <w:spacing w:line="360" w:lineRule="auto"/>
        <w:rPr>
          <w:rFonts w:ascii="Arial" w:hAnsi="Arial" w:cs="Arial"/>
          <w:sz w:val="24"/>
          <w:szCs w:val="24"/>
        </w:rPr>
      </w:pPr>
      <w:r w:rsidRPr="00D94AE8">
        <w:rPr>
          <w:rFonts w:ascii="Arial" w:hAnsi="Arial" w:cs="Arial"/>
          <w:sz w:val="24"/>
          <w:szCs w:val="24"/>
        </w:rPr>
        <w:t>NHS England (2022) National preceptorship framework for nursing. London: NHS England.</w:t>
      </w:r>
    </w:p>
    <w:p w14:paraId="61C31106" w14:textId="77777777" w:rsidR="008939CE" w:rsidRDefault="008939CE" w:rsidP="006A3699">
      <w:pPr>
        <w:spacing w:line="360" w:lineRule="auto"/>
        <w:rPr>
          <w:rFonts w:ascii="Arial" w:hAnsi="Arial" w:cs="Arial"/>
          <w:sz w:val="24"/>
          <w:szCs w:val="24"/>
        </w:rPr>
      </w:pPr>
    </w:p>
    <w:p w14:paraId="6E8C6720" w14:textId="0C6C1148" w:rsidR="008939CE" w:rsidRDefault="008939CE" w:rsidP="006A3699">
      <w:pPr>
        <w:spacing w:line="360" w:lineRule="auto"/>
        <w:rPr>
          <w:rFonts w:ascii="Arial" w:hAnsi="Arial" w:cs="Arial"/>
          <w:sz w:val="24"/>
          <w:szCs w:val="24"/>
        </w:rPr>
      </w:pPr>
      <w:r w:rsidRPr="008939CE">
        <w:rPr>
          <w:rFonts w:ascii="Arial" w:hAnsi="Arial" w:cs="Arial"/>
          <w:sz w:val="24"/>
          <w:szCs w:val="24"/>
        </w:rPr>
        <w:t xml:space="preserve">NHS England (2024) </w:t>
      </w:r>
      <w:r w:rsidRPr="008939CE">
        <w:rPr>
          <w:rFonts w:ascii="Arial" w:hAnsi="Arial" w:cs="Arial"/>
          <w:i/>
          <w:iCs/>
          <w:sz w:val="24"/>
          <w:szCs w:val="24"/>
        </w:rPr>
        <w:t>AHP Fair Share – Calculations/Recommendations Update</w:t>
      </w:r>
      <w:r w:rsidRPr="008939CE">
        <w:rPr>
          <w:rFonts w:ascii="Arial" w:hAnsi="Arial" w:cs="Arial"/>
          <w:sz w:val="24"/>
          <w:szCs w:val="24"/>
        </w:rPr>
        <w:t>. London: NHS England.</w:t>
      </w:r>
    </w:p>
    <w:p w14:paraId="0ABF0CC0" w14:textId="77777777" w:rsidR="002C4736" w:rsidRDefault="002C4736" w:rsidP="006A3699">
      <w:pPr>
        <w:spacing w:line="360" w:lineRule="auto"/>
        <w:rPr>
          <w:rFonts w:ascii="Arial" w:hAnsi="Arial" w:cs="Arial"/>
          <w:sz w:val="24"/>
          <w:szCs w:val="24"/>
        </w:rPr>
      </w:pPr>
    </w:p>
    <w:p w14:paraId="27D9DB87" w14:textId="7844F2D8" w:rsidR="002C4736" w:rsidRDefault="002C4736" w:rsidP="006A3699">
      <w:pPr>
        <w:spacing w:line="360" w:lineRule="auto"/>
        <w:rPr>
          <w:rFonts w:ascii="Arial" w:hAnsi="Arial" w:cs="Arial"/>
          <w:sz w:val="24"/>
          <w:szCs w:val="24"/>
        </w:rPr>
      </w:pPr>
      <w:r w:rsidRPr="002C4736">
        <w:rPr>
          <w:rFonts w:ascii="Arial" w:hAnsi="Arial" w:cs="Arial"/>
          <w:sz w:val="24"/>
          <w:szCs w:val="24"/>
        </w:rPr>
        <w:t xml:space="preserve">NHS England (2025) </w:t>
      </w:r>
      <w:r w:rsidRPr="002C4736">
        <w:rPr>
          <w:rFonts w:ascii="Arial" w:hAnsi="Arial" w:cs="Arial"/>
          <w:i/>
          <w:iCs/>
          <w:sz w:val="24"/>
          <w:szCs w:val="24"/>
        </w:rPr>
        <w:t>Coaching Models in Clinical Practice and Placement Utilisation Toolkit</w:t>
      </w:r>
      <w:r w:rsidRPr="002C4736">
        <w:rPr>
          <w:rFonts w:ascii="Arial" w:hAnsi="Arial" w:cs="Arial"/>
          <w:sz w:val="24"/>
          <w:szCs w:val="24"/>
        </w:rPr>
        <w:t>. London: NHS England.</w:t>
      </w:r>
    </w:p>
    <w:p w14:paraId="691F1B28" w14:textId="77777777" w:rsidR="00C86531" w:rsidRDefault="00C86531" w:rsidP="006A3699">
      <w:pPr>
        <w:spacing w:line="360" w:lineRule="auto"/>
        <w:rPr>
          <w:rFonts w:ascii="Arial" w:hAnsi="Arial" w:cs="Arial"/>
          <w:sz w:val="24"/>
          <w:szCs w:val="24"/>
        </w:rPr>
      </w:pPr>
    </w:p>
    <w:p w14:paraId="45E6EE39" w14:textId="16844696" w:rsidR="00C86531" w:rsidRDefault="00C86531" w:rsidP="00C86531">
      <w:pPr>
        <w:spacing w:after="200" w:line="276" w:lineRule="auto"/>
        <w:rPr>
          <w:rFonts w:ascii="Arial" w:hAnsi="Arial" w:cs="Arial"/>
          <w:sz w:val="24"/>
          <w:szCs w:val="24"/>
        </w:rPr>
      </w:pPr>
      <w:r w:rsidRPr="00D94AE8">
        <w:rPr>
          <w:rFonts w:ascii="Arial" w:hAnsi="Arial" w:cs="Arial"/>
          <w:sz w:val="24"/>
          <w:szCs w:val="24"/>
        </w:rPr>
        <w:t>NHS Employers (2025a) T Level industry placements: guidance for NHS employers. London: NHS Employers.</w:t>
      </w:r>
    </w:p>
    <w:p w14:paraId="686373DD" w14:textId="77777777" w:rsidR="00C86531" w:rsidRPr="00D94AE8" w:rsidRDefault="00C86531" w:rsidP="00C86531">
      <w:pPr>
        <w:spacing w:after="200" w:line="276" w:lineRule="auto"/>
        <w:rPr>
          <w:rFonts w:ascii="Arial" w:hAnsi="Arial" w:cs="Arial"/>
          <w:sz w:val="24"/>
          <w:szCs w:val="24"/>
        </w:rPr>
      </w:pPr>
    </w:p>
    <w:p w14:paraId="008EC472" w14:textId="68041286" w:rsidR="006A3699" w:rsidRDefault="00C86531" w:rsidP="00C86531">
      <w:pPr>
        <w:spacing w:after="200" w:line="276" w:lineRule="auto"/>
        <w:rPr>
          <w:rFonts w:ascii="Arial" w:hAnsi="Arial" w:cs="Arial"/>
          <w:sz w:val="24"/>
          <w:szCs w:val="24"/>
        </w:rPr>
      </w:pPr>
      <w:r w:rsidRPr="00D94AE8">
        <w:rPr>
          <w:rFonts w:ascii="Arial" w:hAnsi="Arial" w:cs="Arial"/>
          <w:sz w:val="24"/>
          <w:szCs w:val="24"/>
        </w:rPr>
        <w:t>NHS Employers (2025b) Supporting under-18 students on T Level placements: guidance for NHS employers. London: NHS Employers.</w:t>
      </w:r>
    </w:p>
    <w:p w14:paraId="30D1D551" w14:textId="77777777" w:rsidR="006A72AD" w:rsidRDefault="006A72AD" w:rsidP="00C86531">
      <w:pPr>
        <w:spacing w:after="200" w:line="276" w:lineRule="auto"/>
        <w:rPr>
          <w:rFonts w:ascii="Arial" w:hAnsi="Arial" w:cs="Arial"/>
          <w:sz w:val="24"/>
          <w:szCs w:val="24"/>
        </w:rPr>
      </w:pPr>
    </w:p>
    <w:p w14:paraId="7EECA523" w14:textId="28E77EF3" w:rsidR="00C86531" w:rsidRDefault="006A72AD" w:rsidP="00C86531">
      <w:pPr>
        <w:spacing w:after="200" w:line="276" w:lineRule="auto"/>
        <w:rPr>
          <w:rFonts w:ascii="Arial" w:hAnsi="Arial" w:cs="Arial"/>
          <w:sz w:val="24"/>
          <w:szCs w:val="24"/>
        </w:rPr>
      </w:pPr>
      <w:r w:rsidRPr="006A72AD">
        <w:rPr>
          <w:rFonts w:ascii="Arial" w:hAnsi="Arial" w:cs="Arial"/>
          <w:sz w:val="24"/>
          <w:szCs w:val="24"/>
        </w:rPr>
        <w:t xml:space="preserve">NHS Employers (2025c) </w:t>
      </w:r>
      <w:r w:rsidRPr="006A72AD">
        <w:rPr>
          <w:rFonts w:ascii="Arial" w:hAnsi="Arial" w:cs="Arial"/>
          <w:i/>
          <w:iCs/>
          <w:sz w:val="24"/>
          <w:szCs w:val="24"/>
        </w:rPr>
        <w:t>Student placements in the NHS</w:t>
      </w:r>
      <w:r w:rsidRPr="006A72AD">
        <w:rPr>
          <w:rFonts w:ascii="Arial" w:hAnsi="Arial" w:cs="Arial"/>
          <w:sz w:val="24"/>
          <w:szCs w:val="24"/>
        </w:rPr>
        <w:t>. London: NHS Employers.</w:t>
      </w:r>
    </w:p>
    <w:p w14:paraId="4EAF8DEE" w14:textId="77777777" w:rsidR="005271FE" w:rsidRPr="00D94AE8" w:rsidRDefault="005271FE" w:rsidP="00C86531">
      <w:pPr>
        <w:spacing w:after="200" w:line="276" w:lineRule="auto"/>
        <w:rPr>
          <w:rFonts w:ascii="Arial" w:hAnsi="Arial" w:cs="Arial"/>
          <w:sz w:val="24"/>
          <w:szCs w:val="24"/>
        </w:rPr>
      </w:pPr>
    </w:p>
    <w:p w14:paraId="00130762" w14:textId="77777777" w:rsidR="006A3699" w:rsidRDefault="006A3699" w:rsidP="006A3699">
      <w:pPr>
        <w:spacing w:line="360" w:lineRule="auto"/>
        <w:rPr>
          <w:rFonts w:ascii="Arial" w:hAnsi="Arial" w:cs="Arial"/>
          <w:sz w:val="24"/>
          <w:szCs w:val="24"/>
        </w:rPr>
      </w:pPr>
      <w:r w:rsidRPr="00D94AE8">
        <w:rPr>
          <w:rFonts w:ascii="Arial" w:hAnsi="Arial" w:cs="Arial"/>
          <w:sz w:val="24"/>
          <w:szCs w:val="24"/>
        </w:rPr>
        <w:t>Nursing and Midwifery Council (2018) Standards for student supervision and assessment. London: NMC. In effect since 28 January 2019; republished 2023.</w:t>
      </w:r>
    </w:p>
    <w:p w14:paraId="5A36145A" w14:textId="77777777" w:rsidR="005271FE" w:rsidRDefault="005271FE" w:rsidP="006A3699">
      <w:pPr>
        <w:spacing w:line="360" w:lineRule="auto"/>
        <w:rPr>
          <w:rFonts w:ascii="Arial" w:hAnsi="Arial" w:cs="Arial"/>
          <w:sz w:val="24"/>
          <w:szCs w:val="24"/>
        </w:rPr>
      </w:pPr>
    </w:p>
    <w:p w14:paraId="750EF665" w14:textId="1BAD161D" w:rsidR="006A3699" w:rsidRDefault="005271FE" w:rsidP="006A3699">
      <w:pPr>
        <w:spacing w:line="360" w:lineRule="auto"/>
        <w:rPr>
          <w:rFonts w:ascii="Arial" w:hAnsi="Arial" w:cs="Arial"/>
          <w:sz w:val="24"/>
          <w:szCs w:val="24"/>
        </w:rPr>
      </w:pPr>
      <w:r w:rsidRPr="005271FE">
        <w:rPr>
          <w:rFonts w:ascii="Arial" w:hAnsi="Arial" w:cs="Arial"/>
          <w:sz w:val="24"/>
          <w:szCs w:val="24"/>
        </w:rPr>
        <w:t xml:space="preserve">Rodger, S., Webb, G., Devitt, L., Gilbert, J., Wrightson, P. and McMeeken, J. (2008) 'Clinical education and practice placements in the allied health professions: an international perspective', </w:t>
      </w:r>
      <w:r w:rsidRPr="005271FE">
        <w:rPr>
          <w:rFonts w:ascii="Arial" w:hAnsi="Arial" w:cs="Arial"/>
          <w:i/>
          <w:iCs/>
          <w:sz w:val="24"/>
          <w:szCs w:val="24"/>
        </w:rPr>
        <w:t>Journal of Allied Health</w:t>
      </w:r>
      <w:r w:rsidRPr="005271FE">
        <w:rPr>
          <w:rFonts w:ascii="Arial" w:hAnsi="Arial" w:cs="Arial"/>
          <w:sz w:val="24"/>
          <w:szCs w:val="24"/>
        </w:rPr>
        <w:t>, 37(1), pp. 53-62.</w:t>
      </w:r>
    </w:p>
    <w:p w14:paraId="1A686158" w14:textId="20B5D0DD" w:rsidR="006A72AD" w:rsidRDefault="006A72AD" w:rsidP="006A3699">
      <w:pPr>
        <w:spacing w:line="360" w:lineRule="auto"/>
        <w:rPr>
          <w:rFonts w:ascii="Arial" w:hAnsi="Arial" w:cs="Arial"/>
          <w:sz w:val="24"/>
          <w:szCs w:val="24"/>
        </w:rPr>
      </w:pPr>
      <w:proofErr w:type="spellStart"/>
      <w:r w:rsidRPr="006A72AD">
        <w:rPr>
          <w:rFonts w:ascii="Arial" w:hAnsi="Arial" w:cs="Arial"/>
          <w:sz w:val="24"/>
          <w:szCs w:val="24"/>
        </w:rPr>
        <w:lastRenderedPageBreak/>
        <w:t>Sevenhuysen</w:t>
      </w:r>
      <w:proofErr w:type="spellEnd"/>
      <w:r w:rsidRPr="006A72AD">
        <w:rPr>
          <w:rFonts w:ascii="Arial" w:hAnsi="Arial" w:cs="Arial"/>
          <w:sz w:val="24"/>
          <w:szCs w:val="24"/>
        </w:rPr>
        <w:t xml:space="preserve">, S. L. and Haines, T. (2011) 'The slave of duty: why clinical educators across the continuum of care provide clinical education in physiotherapy', </w:t>
      </w:r>
      <w:r w:rsidRPr="006A72AD">
        <w:rPr>
          <w:rFonts w:ascii="Arial" w:hAnsi="Arial" w:cs="Arial"/>
          <w:i/>
          <w:iCs/>
          <w:sz w:val="24"/>
          <w:szCs w:val="24"/>
        </w:rPr>
        <w:t>Hong Kong Physiotherapy Journal</w:t>
      </w:r>
      <w:r w:rsidRPr="006A72AD">
        <w:rPr>
          <w:rFonts w:ascii="Arial" w:hAnsi="Arial" w:cs="Arial"/>
          <w:sz w:val="24"/>
          <w:szCs w:val="24"/>
        </w:rPr>
        <w:t>, 29(2), pp. 64-70.</w:t>
      </w:r>
    </w:p>
    <w:p w14:paraId="23C036FA" w14:textId="77777777" w:rsidR="006A72AD" w:rsidRDefault="006A72AD" w:rsidP="006A3699">
      <w:pPr>
        <w:spacing w:line="360" w:lineRule="auto"/>
        <w:rPr>
          <w:rFonts w:ascii="Arial" w:hAnsi="Arial" w:cs="Arial"/>
          <w:sz w:val="24"/>
          <w:szCs w:val="24"/>
        </w:rPr>
      </w:pPr>
    </w:p>
    <w:p w14:paraId="3A0FF39F" w14:textId="77777777" w:rsidR="00423BFF" w:rsidRPr="00423BFF" w:rsidRDefault="00423BFF" w:rsidP="00423BFF">
      <w:pPr>
        <w:spacing w:line="360" w:lineRule="auto"/>
        <w:rPr>
          <w:rFonts w:ascii="Arial" w:hAnsi="Arial" w:cs="Arial"/>
          <w:sz w:val="24"/>
          <w:szCs w:val="24"/>
        </w:rPr>
      </w:pPr>
      <w:r w:rsidRPr="00423BFF">
        <w:rPr>
          <w:rFonts w:ascii="Arial" w:hAnsi="Arial" w:cs="Arial"/>
          <w:sz w:val="24"/>
          <w:szCs w:val="24"/>
        </w:rPr>
        <w:t xml:space="preserve">Skills for Care and Health Education England (2015) </w:t>
      </w:r>
      <w:r w:rsidRPr="00423BFF">
        <w:rPr>
          <w:rFonts w:ascii="Arial" w:hAnsi="Arial" w:cs="Arial"/>
          <w:i/>
          <w:iCs/>
          <w:sz w:val="24"/>
          <w:szCs w:val="24"/>
        </w:rPr>
        <w:t>The Care Certificate: standards</w:t>
      </w:r>
      <w:r w:rsidRPr="00423BFF">
        <w:rPr>
          <w:rFonts w:ascii="Arial" w:hAnsi="Arial" w:cs="Arial"/>
          <w:sz w:val="24"/>
          <w:szCs w:val="24"/>
        </w:rPr>
        <w:t>. Leeds: Skills for Care/Health Education England.</w:t>
      </w:r>
    </w:p>
    <w:p w14:paraId="1101E924" w14:textId="77777777" w:rsidR="00423BFF" w:rsidRPr="00423BFF" w:rsidRDefault="00423BFF" w:rsidP="00423BFF">
      <w:pPr>
        <w:spacing w:line="360" w:lineRule="auto"/>
        <w:rPr>
          <w:rFonts w:ascii="Arial" w:hAnsi="Arial" w:cs="Arial"/>
          <w:sz w:val="24"/>
          <w:szCs w:val="24"/>
        </w:rPr>
      </w:pPr>
      <w:r w:rsidRPr="00423BFF">
        <w:rPr>
          <w:rFonts w:ascii="Arial" w:hAnsi="Arial" w:cs="Arial"/>
          <w:sz w:val="24"/>
          <w:szCs w:val="24"/>
        </w:rPr>
        <w:t xml:space="preserve">Snowden, C. and Swart, M. (2021) </w:t>
      </w:r>
      <w:r w:rsidRPr="00423BFF">
        <w:rPr>
          <w:rFonts w:ascii="Arial" w:hAnsi="Arial" w:cs="Arial"/>
          <w:i/>
          <w:iCs/>
          <w:sz w:val="24"/>
          <w:szCs w:val="24"/>
        </w:rPr>
        <w:t>Anaesthesia and Perioperative Medicine: GIRFT Programme National Specialty Report</w:t>
      </w:r>
      <w:r w:rsidRPr="00423BFF">
        <w:rPr>
          <w:rFonts w:ascii="Arial" w:hAnsi="Arial" w:cs="Arial"/>
          <w:sz w:val="24"/>
          <w:szCs w:val="24"/>
        </w:rPr>
        <w:t>. London: NHS England (GIRFT Programme).</w:t>
      </w:r>
    </w:p>
    <w:p w14:paraId="50DFDDB7" w14:textId="77777777" w:rsidR="006A72AD" w:rsidRPr="00D94AE8" w:rsidRDefault="006A72AD" w:rsidP="006A3699">
      <w:pPr>
        <w:spacing w:line="360" w:lineRule="auto"/>
        <w:rPr>
          <w:rFonts w:ascii="Arial" w:hAnsi="Arial" w:cs="Arial"/>
          <w:sz w:val="24"/>
          <w:szCs w:val="24"/>
        </w:rPr>
      </w:pPr>
    </w:p>
    <w:p w14:paraId="1B7F4FE0" w14:textId="77777777" w:rsidR="006A3699" w:rsidRPr="00D94AE8" w:rsidRDefault="006A3699" w:rsidP="006A3699">
      <w:pPr>
        <w:spacing w:after="200" w:line="276" w:lineRule="auto"/>
        <w:rPr>
          <w:rFonts w:ascii="Arial" w:hAnsi="Arial" w:cs="Arial"/>
          <w:sz w:val="24"/>
          <w:szCs w:val="24"/>
        </w:rPr>
      </w:pPr>
      <w:r w:rsidRPr="00D94AE8">
        <w:rPr>
          <w:rFonts w:ascii="Arial" w:hAnsi="Arial" w:cs="Arial"/>
          <w:sz w:val="24"/>
          <w:szCs w:val="24"/>
        </w:rPr>
        <w:t>Tam, A. et al. (2024) 'The effects of stress on surgical performance: a systematic review', Surgical Endoscopy. doi:10.1007/s00464-024-10872-8.</w:t>
      </w:r>
    </w:p>
    <w:p w14:paraId="7E27FA78" w14:textId="77777777" w:rsidR="006A3699" w:rsidRPr="00D94AE8" w:rsidRDefault="006A3699" w:rsidP="006A3699">
      <w:pPr>
        <w:spacing w:after="200" w:line="276" w:lineRule="auto"/>
        <w:rPr>
          <w:rFonts w:ascii="Arial" w:hAnsi="Arial" w:cs="Arial"/>
          <w:sz w:val="24"/>
          <w:szCs w:val="24"/>
        </w:rPr>
      </w:pPr>
      <w:r w:rsidRPr="00D94AE8">
        <w:rPr>
          <w:rFonts w:ascii="Arial" w:hAnsi="Arial" w:cs="Arial"/>
          <w:sz w:val="24"/>
          <w:szCs w:val="24"/>
        </w:rPr>
        <w:t>Taylor, C., Angel, L., Nyanga, L. et al. (2017) 'The process and challenges of obtaining and sustaining clinical placements for nursing and allied health students', Journal of Clinical Nursing, 26, pp. 3099-3110.</w:t>
      </w:r>
    </w:p>
    <w:p w14:paraId="7AB739D2" w14:textId="77777777" w:rsidR="006A3699" w:rsidRPr="00D94AE8" w:rsidRDefault="006A3699" w:rsidP="006A3699">
      <w:pPr>
        <w:spacing w:after="200" w:line="276" w:lineRule="auto"/>
        <w:rPr>
          <w:rFonts w:ascii="Arial" w:hAnsi="Arial" w:cs="Arial"/>
          <w:sz w:val="24"/>
          <w:szCs w:val="24"/>
        </w:rPr>
      </w:pPr>
      <w:r w:rsidRPr="00D94AE8">
        <w:rPr>
          <w:rFonts w:ascii="Arial" w:hAnsi="Arial" w:cs="Arial"/>
          <w:sz w:val="24"/>
          <w:szCs w:val="24"/>
        </w:rPr>
        <w:t>Wallis, L., Palmer, M., Locke, R., Faulkner, J., Lowes, H. and Harden, B. (2024) 'Sources of influence for choosing an operating department practitioner career: findings from a questionnaire among students in England', Journal of Perioperative Practice. https://doi.org/10.1177/17504589241265833</w:t>
      </w:r>
    </w:p>
    <w:p w14:paraId="1CDA4845" w14:textId="77777777" w:rsidR="005D02DC" w:rsidRDefault="005D02DC"/>
    <w:sectPr w:rsidR="005D02DC" w:rsidSect="006A369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99"/>
    <w:rsid w:val="000E7009"/>
    <w:rsid w:val="001A1C88"/>
    <w:rsid w:val="002B5A88"/>
    <w:rsid w:val="002C4736"/>
    <w:rsid w:val="0039566E"/>
    <w:rsid w:val="00423BFF"/>
    <w:rsid w:val="00426352"/>
    <w:rsid w:val="0042715D"/>
    <w:rsid w:val="004E2744"/>
    <w:rsid w:val="004F0E5D"/>
    <w:rsid w:val="005271FE"/>
    <w:rsid w:val="005C7F0D"/>
    <w:rsid w:val="005D02DC"/>
    <w:rsid w:val="0063021D"/>
    <w:rsid w:val="00636C66"/>
    <w:rsid w:val="006A3699"/>
    <w:rsid w:val="006A72AD"/>
    <w:rsid w:val="00737AC3"/>
    <w:rsid w:val="007502E2"/>
    <w:rsid w:val="00814C4F"/>
    <w:rsid w:val="00851BCF"/>
    <w:rsid w:val="008939CE"/>
    <w:rsid w:val="008D648C"/>
    <w:rsid w:val="00917776"/>
    <w:rsid w:val="00944B9F"/>
    <w:rsid w:val="00952243"/>
    <w:rsid w:val="009573E3"/>
    <w:rsid w:val="00A8582E"/>
    <w:rsid w:val="00B84D4D"/>
    <w:rsid w:val="00C26AF6"/>
    <w:rsid w:val="00C40B0D"/>
    <w:rsid w:val="00C86531"/>
    <w:rsid w:val="00CE7037"/>
    <w:rsid w:val="00D050C8"/>
    <w:rsid w:val="00D60F1C"/>
    <w:rsid w:val="00E825B0"/>
    <w:rsid w:val="00EF3975"/>
    <w:rsid w:val="00EF5560"/>
    <w:rsid w:val="00EF5E6D"/>
    <w:rsid w:val="00F26286"/>
    <w:rsid w:val="00FD6E94"/>
    <w:rsid w:val="02E2483F"/>
    <w:rsid w:val="0417CC8C"/>
    <w:rsid w:val="09555241"/>
    <w:rsid w:val="0E2281D7"/>
    <w:rsid w:val="12EBEAAF"/>
    <w:rsid w:val="142730A2"/>
    <w:rsid w:val="16D8C54B"/>
    <w:rsid w:val="18B85684"/>
    <w:rsid w:val="1957DBF9"/>
    <w:rsid w:val="21ECB96B"/>
    <w:rsid w:val="245E0B1C"/>
    <w:rsid w:val="277B511B"/>
    <w:rsid w:val="29336FE2"/>
    <w:rsid w:val="2ACB8DE3"/>
    <w:rsid w:val="2DBF1D90"/>
    <w:rsid w:val="364FBEA2"/>
    <w:rsid w:val="36D1DE42"/>
    <w:rsid w:val="37010B69"/>
    <w:rsid w:val="38446C3D"/>
    <w:rsid w:val="39EB181F"/>
    <w:rsid w:val="3DDF7246"/>
    <w:rsid w:val="3E010F1B"/>
    <w:rsid w:val="446B01B8"/>
    <w:rsid w:val="488AE454"/>
    <w:rsid w:val="499789E7"/>
    <w:rsid w:val="4A75EAC1"/>
    <w:rsid w:val="52998F81"/>
    <w:rsid w:val="5785C1A1"/>
    <w:rsid w:val="58F41A5E"/>
    <w:rsid w:val="5B820343"/>
    <w:rsid w:val="6173A2BB"/>
    <w:rsid w:val="61FE6730"/>
    <w:rsid w:val="6759B64E"/>
    <w:rsid w:val="67807F84"/>
    <w:rsid w:val="67FF265E"/>
    <w:rsid w:val="69E90F8E"/>
    <w:rsid w:val="6C36B86B"/>
    <w:rsid w:val="6F63D57A"/>
    <w:rsid w:val="73684FA7"/>
    <w:rsid w:val="754FF322"/>
    <w:rsid w:val="791589E7"/>
    <w:rsid w:val="7A1FD7D6"/>
    <w:rsid w:val="7C38BC57"/>
    <w:rsid w:val="7D0B36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2025640"/>
  <w15:chartTrackingRefBased/>
  <w15:docId w15:val="{3BD09D04-74E5-4BE2-B849-ECAFC2941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699"/>
    <w:pPr>
      <w:spacing w:after="0" w:line="240" w:lineRule="auto"/>
    </w:pPr>
    <w:rPr>
      <w:rFonts w:ascii="Times New Roman" w:eastAsia="Times New Roman" w:hAnsi="Times New Roman" w:cs="Times New Roman"/>
      <w:kern w:val="0"/>
      <w:sz w:val="20"/>
      <w:szCs w:val="20"/>
      <w:lang w:eastAsia="en-GB"/>
      <w14:ligatures w14:val="none"/>
    </w:rPr>
  </w:style>
  <w:style w:type="paragraph" w:styleId="Heading1">
    <w:name w:val="heading 1"/>
    <w:basedOn w:val="Normal"/>
    <w:next w:val="Normal"/>
    <w:link w:val="Heading1Char"/>
    <w:uiPriority w:val="9"/>
    <w:qFormat/>
    <w:rsid w:val="006A369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A369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A369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A369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6A369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6A369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6A369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6A369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6A3699"/>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6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36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36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36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36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36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36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36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3699"/>
    <w:rPr>
      <w:rFonts w:eastAsiaTheme="majorEastAsia" w:cstheme="majorBidi"/>
      <w:color w:val="272727" w:themeColor="text1" w:themeTint="D8"/>
    </w:rPr>
  </w:style>
  <w:style w:type="paragraph" w:styleId="Title">
    <w:name w:val="Title"/>
    <w:basedOn w:val="Normal"/>
    <w:next w:val="Normal"/>
    <w:link w:val="TitleChar"/>
    <w:uiPriority w:val="10"/>
    <w:qFormat/>
    <w:rsid w:val="006A369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A36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369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A36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3699"/>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6A3699"/>
    <w:rPr>
      <w:i/>
      <w:iCs/>
      <w:color w:val="404040" w:themeColor="text1" w:themeTint="BF"/>
    </w:rPr>
  </w:style>
  <w:style w:type="paragraph" w:styleId="ListParagraph">
    <w:name w:val="List Paragraph"/>
    <w:basedOn w:val="Normal"/>
    <w:uiPriority w:val="34"/>
    <w:qFormat/>
    <w:rsid w:val="006A3699"/>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6A3699"/>
    <w:rPr>
      <w:i/>
      <w:iCs/>
      <w:color w:val="0F4761" w:themeColor="accent1" w:themeShade="BF"/>
    </w:rPr>
  </w:style>
  <w:style w:type="paragraph" w:styleId="IntenseQuote">
    <w:name w:val="Intense Quote"/>
    <w:basedOn w:val="Normal"/>
    <w:next w:val="Normal"/>
    <w:link w:val="IntenseQuoteChar"/>
    <w:uiPriority w:val="30"/>
    <w:qFormat/>
    <w:rsid w:val="006A369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6A3699"/>
    <w:rPr>
      <w:i/>
      <w:iCs/>
      <w:color w:val="0F4761" w:themeColor="accent1" w:themeShade="BF"/>
    </w:rPr>
  </w:style>
  <w:style w:type="character" w:styleId="IntenseReference">
    <w:name w:val="Intense Reference"/>
    <w:basedOn w:val="DefaultParagraphFont"/>
    <w:uiPriority w:val="32"/>
    <w:qFormat/>
    <w:rsid w:val="006A3699"/>
    <w:rPr>
      <w:b/>
      <w:bCs/>
      <w:smallCaps/>
      <w:color w:val="0F4761" w:themeColor="accent1" w:themeShade="BF"/>
      <w:spacing w:val="5"/>
    </w:rPr>
  </w:style>
  <w:style w:type="character" w:styleId="Hyperlink">
    <w:name w:val="Hyperlink"/>
    <w:uiPriority w:val="99"/>
    <w:unhideWhenUsed/>
    <w:rsid w:val="006A3699"/>
    <w:rPr>
      <w:color w:val="0563C1"/>
      <w:u w:val="single"/>
    </w:rPr>
  </w:style>
  <w:style w:type="paragraph" w:styleId="NormalWeb">
    <w:name w:val="Normal (Web)"/>
    <w:basedOn w:val="Normal"/>
    <w:uiPriority w:val="99"/>
    <w:semiHidden/>
    <w:unhideWhenUsed/>
    <w:rsid w:val="0091777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17504589251330423" TargetMode="External"/><Relationship Id="rId3" Type="http://schemas.openxmlformats.org/officeDocument/2006/relationships/customXml" Target="../customXml/item3.xml"/><Relationship Id="rId7" Type="http://schemas.openxmlformats.org/officeDocument/2006/relationships/hyperlink" Target="https://doi.org/10.1016/j.bjoms.2020.07.03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DCA5AE33400642B4671A65AE9E8859" ma:contentTypeVersion="13" ma:contentTypeDescription="Create a new document." ma:contentTypeScope="" ma:versionID="19fc9b51e1e67e5692860f3d8b1b2bab">
  <xsd:schema xmlns:xsd="http://www.w3.org/2001/XMLSchema" xmlns:xs="http://www.w3.org/2001/XMLSchema" xmlns:p="http://schemas.microsoft.com/office/2006/metadata/properties" xmlns:ns2="67dde79b-18bc-4d2a-ada6-149c51a648ea" xmlns:ns3="d5e2c90e-2394-44a7-931c-b4fcf2ef89ce" targetNamespace="http://schemas.microsoft.com/office/2006/metadata/properties" ma:root="true" ma:fieldsID="1d7ea112d21b609176d68f9aa2bce017" ns2:_="" ns3:_="">
    <xsd:import namespace="67dde79b-18bc-4d2a-ada6-149c51a648ea"/>
    <xsd:import namespace="d5e2c90e-2394-44a7-931c-b4fcf2ef89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de79b-18bc-4d2a-ada6-149c51a648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77d9163-87e0-4835-b57b-d419b43c90a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e2c90e-2394-44a7-931c-b4fcf2ef89c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82e42a-7627-470d-b0fd-2aa14e370cca}" ma:internalName="TaxCatchAll" ma:showField="CatchAllData" ma:web="d5e2c90e-2394-44a7-931c-b4fcf2ef89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dde79b-18bc-4d2a-ada6-149c51a648ea">
      <Terms xmlns="http://schemas.microsoft.com/office/infopath/2007/PartnerControls"/>
    </lcf76f155ced4ddcb4097134ff3c332f>
    <TaxCatchAll xmlns="d5e2c90e-2394-44a7-931c-b4fcf2ef89c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5C615E-9B15-4F14-B892-4EF2E7BF5E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de79b-18bc-4d2a-ada6-149c51a648ea"/>
    <ds:schemaRef ds:uri="d5e2c90e-2394-44a7-931c-b4fcf2ef89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FE64A7-E20D-4A43-9580-953FAA608082}">
  <ds:schemaRefs>
    <ds:schemaRef ds:uri="http://schemas.microsoft.com/office/2006/metadata/properties"/>
    <ds:schemaRef ds:uri="http://schemas.microsoft.com/office/infopath/2007/PartnerControls"/>
    <ds:schemaRef ds:uri="67dde79b-18bc-4d2a-ada6-149c51a648ea"/>
    <ds:schemaRef ds:uri="d5e2c90e-2394-44a7-931c-b4fcf2ef89ce"/>
  </ds:schemaRefs>
</ds:datastoreItem>
</file>

<file path=customXml/itemProps3.xml><?xml version="1.0" encoding="utf-8"?>
<ds:datastoreItem xmlns:ds="http://schemas.openxmlformats.org/officeDocument/2006/customXml" ds:itemID="{300B935D-CB9C-43D8-A2E1-3A27F46D97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7687</Words>
  <Characters>43816</Characters>
  <Application>Microsoft Office Word</Application>
  <DocSecurity>0</DocSecurity>
  <Lines>365</Lines>
  <Paragraphs>102</Paragraphs>
  <ScaleCrop>false</ScaleCrop>
  <Company/>
  <LinksUpToDate>false</LinksUpToDate>
  <CharactersWithSpaces>51401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Birney</dc:creator>
  <cp:keywords/>
  <dc:description/>
  <cp:lastModifiedBy>Luke Ewart</cp:lastModifiedBy>
  <cp:revision>2</cp:revision>
  <dcterms:created xsi:type="dcterms:W3CDTF">2026-10-08T15:57:00Z</dcterms:created>
  <dcterms:modified xsi:type="dcterms:W3CDTF">2026-10-08T15:57:00Z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0x0101000ADCA5AE33400642B4671A65AE9E8859</vt:lpwstr>
  </property>
  <property fmtid="{D5CDD505-2E9C-101B-9397-08002B2CF9AE}" pid="3" name="MediaServiceImageTags">
    <vt:lpwstr/>
  </property>
</Properties>
</file>